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57"/>
        <w:tblW w:w="9356" w:type="dxa"/>
        <w:tblLayout w:type="fixed"/>
        <w:tblLook w:val="04A0" w:firstRow="1" w:lastRow="0" w:firstColumn="1" w:lastColumn="0" w:noHBand="0" w:noVBand="1"/>
      </w:tblPr>
      <w:tblGrid>
        <w:gridCol w:w="4775"/>
        <w:gridCol w:w="4581"/>
      </w:tblGrid>
      <w:tr w:rsidR="00A12F11" w:rsidRPr="00A12F11" w14:paraId="1BB50E84" w14:textId="77777777" w:rsidTr="00A12F11">
        <w:trPr>
          <w:trHeight w:val="1275"/>
        </w:trPr>
        <w:tc>
          <w:tcPr>
            <w:tcW w:w="4775" w:type="dxa"/>
          </w:tcPr>
          <w:p w14:paraId="7CDDBD1C" w14:textId="77777777"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«СОГЛАСОВАНО»</w:t>
            </w:r>
          </w:p>
          <w:p w14:paraId="61ACD4C7" w14:textId="7014DD56" w:rsidR="00A12F11" w:rsidRDefault="00A12F11" w:rsidP="00A12F11">
            <w:pPr>
              <w:pStyle w:val="af7"/>
              <w:spacing w:before="240" w:line="276" w:lineRule="auto"/>
              <w:jc w:val="both"/>
              <w:rPr>
                <w:rFonts w:ascii="Times New Roman" w:hAnsi="Times New Roman" w:cs="Times New Roman"/>
                <w:sz w:val="24"/>
                <w:szCs w:val="24"/>
              </w:rPr>
            </w:pPr>
            <w:r w:rsidRPr="00A12F11" w:rsidDel="00C60710">
              <w:rPr>
                <w:rFonts w:ascii="Times New Roman" w:hAnsi="Times New Roman" w:cs="Times New Roman"/>
                <w:sz w:val="24"/>
                <w:szCs w:val="24"/>
              </w:rPr>
              <w:t xml:space="preserve"> </w:t>
            </w:r>
            <w:r w:rsidRPr="00A12F11">
              <w:rPr>
                <w:rFonts w:ascii="Times New Roman" w:hAnsi="Times New Roman" w:cs="Times New Roman"/>
                <w:sz w:val="24"/>
                <w:szCs w:val="24"/>
              </w:rPr>
              <w:t xml:space="preserve">« </w:t>
            </w:r>
            <w:r w:rsidR="00B00D0F">
              <w:rPr>
                <w:rFonts w:ascii="Times New Roman" w:hAnsi="Times New Roman" w:cs="Times New Roman"/>
                <w:sz w:val="24"/>
                <w:szCs w:val="24"/>
              </w:rPr>
              <w:t xml:space="preserve">15 </w:t>
            </w:r>
            <w:r w:rsidRPr="00A12F11">
              <w:rPr>
                <w:rFonts w:ascii="Times New Roman" w:hAnsi="Times New Roman" w:cs="Times New Roman"/>
                <w:sz w:val="24"/>
                <w:szCs w:val="24"/>
              </w:rPr>
              <w:t xml:space="preserve">» </w:t>
            </w:r>
            <w:r w:rsidR="0002295E">
              <w:rPr>
                <w:rFonts w:ascii="Times New Roman" w:hAnsi="Times New Roman" w:cs="Times New Roman"/>
                <w:sz w:val="24"/>
                <w:szCs w:val="24"/>
              </w:rPr>
              <w:t xml:space="preserve">  ию</w:t>
            </w:r>
            <w:r w:rsidR="00BC76DD">
              <w:rPr>
                <w:rFonts w:ascii="Times New Roman" w:hAnsi="Times New Roman" w:cs="Times New Roman"/>
                <w:sz w:val="24"/>
                <w:szCs w:val="24"/>
              </w:rPr>
              <w:t>л</w:t>
            </w:r>
            <w:r w:rsidR="0002295E">
              <w:rPr>
                <w:rFonts w:ascii="Times New Roman" w:hAnsi="Times New Roman" w:cs="Times New Roman"/>
                <w:sz w:val="24"/>
                <w:szCs w:val="24"/>
              </w:rPr>
              <w:t xml:space="preserve">я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21</w:t>
            </w:r>
            <w:r w:rsidRPr="00A12F11">
              <w:rPr>
                <w:rFonts w:ascii="Times New Roman" w:hAnsi="Times New Roman" w:cs="Times New Roman"/>
                <w:sz w:val="24"/>
                <w:szCs w:val="24"/>
              </w:rPr>
              <w:t xml:space="preserve">г. </w:t>
            </w:r>
          </w:p>
          <w:p w14:paraId="5FE5AA7B" w14:textId="77777777" w:rsidR="0002295E" w:rsidRPr="0002295E" w:rsidRDefault="0002295E" w:rsidP="0002295E">
            <w:pPr>
              <w:pStyle w:val="af7"/>
              <w:spacing w:before="240" w:after="0"/>
              <w:jc w:val="both"/>
              <w:rPr>
                <w:rFonts w:ascii="Times New Roman" w:hAnsi="Times New Roman" w:cs="Times New Roman"/>
                <w:sz w:val="24"/>
                <w:szCs w:val="24"/>
              </w:rPr>
            </w:pPr>
            <w:r w:rsidRPr="0002295E">
              <w:rPr>
                <w:rFonts w:ascii="Times New Roman" w:hAnsi="Times New Roman" w:cs="Times New Roman"/>
                <w:sz w:val="24"/>
                <w:szCs w:val="24"/>
              </w:rPr>
              <w:t>Специализированный депозитарий:</w:t>
            </w:r>
          </w:p>
          <w:p w14:paraId="08CA1025" w14:textId="77777777" w:rsidR="0002295E" w:rsidRPr="0002295E" w:rsidRDefault="0002295E" w:rsidP="0002295E">
            <w:pPr>
              <w:pStyle w:val="af7"/>
              <w:spacing w:before="240" w:after="0"/>
              <w:jc w:val="both"/>
              <w:rPr>
                <w:rFonts w:ascii="Times New Roman" w:hAnsi="Times New Roman" w:cs="Times New Roman"/>
                <w:sz w:val="24"/>
                <w:szCs w:val="24"/>
              </w:rPr>
            </w:pPr>
            <w:r w:rsidRPr="0002295E">
              <w:rPr>
                <w:rFonts w:ascii="Times New Roman" w:hAnsi="Times New Roman" w:cs="Times New Roman"/>
                <w:sz w:val="24"/>
                <w:szCs w:val="24"/>
              </w:rPr>
              <w:t>ПАО РОСБАНК</w:t>
            </w:r>
          </w:p>
          <w:p w14:paraId="3E6BCF01" w14:textId="77777777"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 xml:space="preserve">Председатель Правления  </w:t>
            </w:r>
          </w:p>
          <w:p w14:paraId="160AE5C4" w14:textId="3B1D4B19" w:rsidR="0002295E" w:rsidRPr="0002295E" w:rsidRDefault="0002295E" w:rsidP="0002295E">
            <w:r>
              <w:rPr>
                <w:rFonts w:ascii="Times New Roman" w:hAnsi="Times New Roman" w:cs="Times New Roman"/>
                <w:sz w:val="24"/>
                <w:szCs w:val="24"/>
              </w:rPr>
              <w:t>Поляков И. А.</w:t>
            </w:r>
          </w:p>
          <w:p w14:paraId="661B5C85" w14:textId="7130B6A4"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_________</w:t>
            </w:r>
            <w:r w:rsidR="0002295E">
              <w:rPr>
                <w:rFonts w:ascii="Times New Roman" w:hAnsi="Times New Roman" w:cs="Times New Roman"/>
                <w:sz w:val="24"/>
                <w:szCs w:val="24"/>
              </w:rPr>
              <w:t>_______________</w:t>
            </w:r>
          </w:p>
        </w:tc>
        <w:tc>
          <w:tcPr>
            <w:tcW w:w="4581" w:type="dxa"/>
          </w:tcPr>
          <w:p w14:paraId="42B94FCE" w14:textId="77777777"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«УТВЕРЖДЕНО»</w:t>
            </w:r>
          </w:p>
          <w:p w14:paraId="5A37647B" w14:textId="169559F5"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 </w:t>
            </w:r>
            <w:r w:rsidR="00B00D0F">
              <w:rPr>
                <w:rFonts w:ascii="Times New Roman" w:hAnsi="Times New Roman" w:cs="Times New Roman"/>
                <w:sz w:val="24"/>
                <w:szCs w:val="24"/>
              </w:rPr>
              <w:t>15</w:t>
            </w:r>
            <w:r w:rsidRPr="00A12F11">
              <w:rPr>
                <w:rFonts w:ascii="Times New Roman" w:hAnsi="Times New Roman" w:cs="Times New Roman"/>
                <w:sz w:val="24"/>
                <w:szCs w:val="24"/>
              </w:rPr>
              <w:t xml:space="preserve"> » </w:t>
            </w:r>
            <w:r w:rsidR="0002295E">
              <w:rPr>
                <w:rFonts w:ascii="Times New Roman" w:hAnsi="Times New Roman" w:cs="Times New Roman"/>
                <w:sz w:val="24"/>
                <w:szCs w:val="24"/>
              </w:rPr>
              <w:t>ию</w:t>
            </w:r>
            <w:r w:rsidR="00BC76DD">
              <w:rPr>
                <w:rFonts w:ascii="Times New Roman" w:hAnsi="Times New Roman" w:cs="Times New Roman"/>
                <w:sz w:val="24"/>
                <w:szCs w:val="24"/>
              </w:rPr>
              <w:t>л</w:t>
            </w:r>
            <w:r w:rsidR="0002295E">
              <w:rPr>
                <w:rFonts w:ascii="Times New Roman" w:hAnsi="Times New Roman" w:cs="Times New Roman"/>
                <w:sz w:val="24"/>
                <w:szCs w:val="24"/>
              </w:rPr>
              <w:t xml:space="preserve">я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 xml:space="preserve">21 </w:t>
            </w:r>
            <w:r w:rsidRPr="00A12F11">
              <w:rPr>
                <w:rFonts w:ascii="Times New Roman" w:hAnsi="Times New Roman" w:cs="Times New Roman"/>
                <w:sz w:val="24"/>
                <w:szCs w:val="24"/>
              </w:rPr>
              <w:t>г.</w:t>
            </w:r>
          </w:p>
          <w:p w14:paraId="72295B67" w14:textId="77777777" w:rsidR="0002295E"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w:t>
            </w:r>
            <w:r w:rsidR="0002295E">
              <w:rPr>
                <w:rFonts w:ascii="Times New Roman" w:hAnsi="Times New Roman" w:cs="Times New Roman"/>
                <w:sz w:val="24"/>
                <w:szCs w:val="24"/>
              </w:rPr>
              <w:t xml:space="preserve">Общество с ограниченной ответственностью «УПРАВЛЯЮЩАЯ КОМПАНИЯ «ТОВАРИЩЕСТВО ДОВЕРИТЕЛЬНОГО УПРАВЛЕНИЯ» </w:t>
            </w:r>
          </w:p>
          <w:p w14:paraId="72821B33" w14:textId="0820C47F" w:rsidR="00A12F11" w:rsidRPr="00A12F11" w:rsidRDefault="0002295E" w:rsidP="00A12F11">
            <w:pPr>
              <w:pStyle w:val="af7"/>
              <w:spacing w:before="240" w:line="276" w:lineRule="auto"/>
              <w:jc w:val="right"/>
              <w:rPr>
                <w:rFonts w:ascii="Times New Roman" w:hAnsi="Times New Roman" w:cs="Times New Roman"/>
                <w:sz w:val="24"/>
                <w:szCs w:val="24"/>
              </w:rPr>
            </w:pPr>
            <w:r>
              <w:rPr>
                <w:rFonts w:ascii="Times New Roman" w:hAnsi="Times New Roman" w:cs="Times New Roman"/>
                <w:sz w:val="24"/>
                <w:szCs w:val="24"/>
              </w:rPr>
              <w:t xml:space="preserve">Генеральный директор  Лазутина Е. А. </w:t>
            </w:r>
            <w:r w:rsidR="00A12F11" w:rsidRPr="00A12F11">
              <w:rPr>
                <w:rFonts w:ascii="Times New Roman" w:hAnsi="Times New Roman" w:cs="Times New Roman"/>
                <w:sz w:val="24"/>
                <w:szCs w:val="24"/>
              </w:rPr>
              <w:t xml:space="preserve"> </w:t>
            </w:r>
          </w:p>
          <w:p w14:paraId="045A6A84" w14:textId="7EC01370"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_______________</w:t>
            </w:r>
            <w:r w:rsidR="0002295E">
              <w:rPr>
                <w:rFonts w:ascii="Times New Roman" w:hAnsi="Times New Roman" w:cs="Times New Roman"/>
                <w:sz w:val="24"/>
                <w:szCs w:val="24"/>
              </w:rPr>
              <w:t xml:space="preserve">____________ </w:t>
            </w:r>
          </w:p>
        </w:tc>
      </w:tr>
    </w:tbl>
    <w:p w14:paraId="22D8FAE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91E70F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378B011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6AB5E73C" w14:textId="4681A84A"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721F652" w14:textId="6CF3A704"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A5B2EC6" w14:textId="771E588A"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62379493" w14:textId="094BC1B8"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3A535C0D" w14:textId="77777777"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F74C9C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08623827" w14:textId="77777777" w:rsidR="00B6202E" w:rsidRPr="00A12F11" w:rsidRDefault="001654B1"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r w:rsidRPr="00A12F11">
        <w:rPr>
          <w:rFonts w:ascii="Times New Roman" w:hAnsi="Times New Roman" w:cs="Times New Roman"/>
          <w:snapToGrid w:val="0"/>
          <w:sz w:val="24"/>
          <w:szCs w:val="24"/>
          <w:vertAlign w:val="superscript"/>
        </w:rPr>
        <w:t xml:space="preserve">   </w:t>
      </w:r>
    </w:p>
    <w:p w14:paraId="14754609"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77E75D26"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5BA48F75" w14:textId="77777777" w:rsidR="0002295E" w:rsidRPr="00D13CDE" w:rsidRDefault="0002295E" w:rsidP="0002295E">
      <w:pPr>
        <w:spacing w:line="360" w:lineRule="auto"/>
        <w:jc w:val="both"/>
        <w:rPr>
          <w:rFonts w:ascii="Verdana" w:hAnsi="Verdana"/>
          <w:snapToGrid w:val="0"/>
        </w:rPr>
      </w:pPr>
    </w:p>
    <w:p w14:paraId="532065AD"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Правила</w:t>
      </w:r>
    </w:p>
    <w:p w14:paraId="1CE98673"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определения стоимости чистых активов</w:t>
      </w:r>
    </w:p>
    <w:p w14:paraId="45D7B322" w14:textId="77777777" w:rsidR="0002295E" w:rsidRPr="009674CF" w:rsidRDefault="0002295E" w:rsidP="0002295E">
      <w:pPr>
        <w:pStyle w:val="aa"/>
        <w:jc w:val="center"/>
        <w:rPr>
          <w:rFonts w:ascii="Verdana" w:hAnsi="Verdana"/>
          <w:b/>
          <w:bCs/>
        </w:rPr>
      </w:pPr>
      <w:r w:rsidRPr="009674CF">
        <w:rPr>
          <w:rFonts w:ascii="Verdana" w:hAnsi="Verdana"/>
          <w:b/>
          <w:bCs/>
        </w:rPr>
        <w:t>Закрытого паевого инвестиционного рентного фонда «Своя земля-рентный»</w:t>
      </w:r>
    </w:p>
    <w:p w14:paraId="7EFFF285" w14:textId="77777777" w:rsidR="0002295E" w:rsidRPr="009674CF" w:rsidRDefault="0002295E" w:rsidP="0002295E">
      <w:pPr>
        <w:pStyle w:val="aa"/>
        <w:jc w:val="center"/>
        <w:rPr>
          <w:rFonts w:ascii="Verdana" w:hAnsi="Verdana"/>
          <w:b/>
        </w:rPr>
      </w:pPr>
      <w:r w:rsidRPr="009674CF">
        <w:rPr>
          <w:rFonts w:ascii="Verdana" w:hAnsi="Verdana"/>
          <w:b/>
          <w:bCs/>
        </w:rPr>
        <w:t xml:space="preserve">под управлением </w:t>
      </w:r>
      <w:r w:rsidRPr="009674CF">
        <w:rPr>
          <w:rFonts w:ascii="Verdana" w:hAnsi="Verdana"/>
          <w:b/>
        </w:rPr>
        <w:t xml:space="preserve">Общества с ограниченной ответственностью </w:t>
      </w:r>
    </w:p>
    <w:p w14:paraId="3C07C9FC" w14:textId="77777777" w:rsidR="0002295E" w:rsidRPr="009674CF" w:rsidRDefault="0002295E" w:rsidP="0002295E">
      <w:pPr>
        <w:pStyle w:val="aa"/>
        <w:jc w:val="center"/>
        <w:rPr>
          <w:rFonts w:ascii="Verdana" w:hAnsi="Verdana"/>
          <w:b/>
          <w:bCs/>
        </w:rPr>
      </w:pPr>
      <w:r w:rsidRPr="009674CF">
        <w:rPr>
          <w:rFonts w:ascii="Verdana" w:hAnsi="Verdana"/>
          <w:b/>
        </w:rPr>
        <w:t>«УПРАВЛЯЮЩАЯ КОМПАНИЯ «ТОВАРИЩЕСТВО ДОВЕРИТЕЛЬНОГО УПРАВЛЕНИЯ»</w:t>
      </w:r>
      <w:r w:rsidRPr="009674CF">
        <w:rPr>
          <w:rFonts w:ascii="Verdana" w:hAnsi="Verdana"/>
          <w:b/>
          <w:bCs/>
        </w:rPr>
        <w:tab/>
      </w:r>
    </w:p>
    <w:p w14:paraId="352F240C" w14:textId="77777777" w:rsidR="001654B1" w:rsidRPr="00A12F11" w:rsidRDefault="001654B1" w:rsidP="00A12F11">
      <w:pPr>
        <w:tabs>
          <w:tab w:val="left" w:pos="8364"/>
        </w:tabs>
        <w:spacing w:before="240" w:line="276" w:lineRule="auto"/>
        <w:ind w:left="426" w:right="1133" w:hanging="426"/>
        <w:outlineLvl w:val="0"/>
        <w:rPr>
          <w:rFonts w:ascii="Times New Roman" w:eastAsia="Times New Roman" w:hAnsi="Times New Roman" w:cs="Times New Roman"/>
          <w:b/>
          <w:bCs/>
          <w:iCs/>
          <w:caps/>
          <w:sz w:val="24"/>
          <w:szCs w:val="24"/>
          <w:lang w:eastAsia="ru-RU"/>
        </w:rPr>
      </w:pPr>
    </w:p>
    <w:p w14:paraId="6C86B6D3" w14:textId="77777777" w:rsidR="001654B1" w:rsidRPr="00A12F11" w:rsidRDefault="001654B1" w:rsidP="00A12F11">
      <w:pPr>
        <w:tabs>
          <w:tab w:val="left" w:pos="8364"/>
        </w:tabs>
        <w:spacing w:before="240" w:line="276" w:lineRule="auto"/>
        <w:ind w:left="426" w:right="1133" w:hanging="426"/>
        <w:jc w:val="both"/>
        <w:outlineLvl w:val="0"/>
        <w:rPr>
          <w:rFonts w:ascii="Times New Roman" w:hAnsi="Times New Roman" w:cs="Times New Roman"/>
          <w:b/>
          <w:snapToGrid w:val="0"/>
          <w:sz w:val="24"/>
          <w:szCs w:val="24"/>
        </w:rPr>
      </w:pPr>
    </w:p>
    <w:p w14:paraId="0720AE0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BC0C8EA"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DE87D57"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5B1D659E"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1D057B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0C19785"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DDE77D9" w14:textId="0BFA9926" w:rsidR="001654B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7D20D50" w14:textId="40558CFB" w:rsid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D0E47A3" w14:textId="77777777" w:rsidR="00A12F11" w:rsidRP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76DBB45" w14:textId="77777777" w:rsidR="001654B1" w:rsidRPr="00A12F11" w:rsidRDefault="001654B1" w:rsidP="00A12F11">
      <w:pPr>
        <w:spacing w:before="240" w:line="276" w:lineRule="auto"/>
        <w:ind w:left="426" w:hanging="426"/>
        <w:jc w:val="center"/>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caps/>
          <w:sz w:val="24"/>
          <w:szCs w:val="24"/>
          <w:lang w:eastAsia="ru-RU"/>
        </w:rPr>
        <w:t>Термины и определения, используемые в Правилах определения стоимости чистых активов:</w:t>
      </w:r>
    </w:p>
    <w:p w14:paraId="3342FE63" w14:textId="0A15B104" w:rsidR="001654B1" w:rsidRPr="00A12F11" w:rsidRDefault="001654B1" w:rsidP="00A12F11">
      <w:pPr>
        <w:spacing w:before="240" w:line="360" w:lineRule="auto"/>
        <w:ind w:left="426" w:firstLine="282"/>
        <w:jc w:val="both"/>
        <w:rPr>
          <w:rFonts w:ascii="Times New Roman" w:hAnsi="Times New Roman" w:cs="Times New Roman"/>
          <w:b/>
          <w:color w:val="C45911" w:themeColor="accent2" w:themeShade="BF"/>
          <w:sz w:val="24"/>
          <w:szCs w:val="24"/>
        </w:rPr>
      </w:pPr>
      <w:r w:rsidRPr="00A12F11">
        <w:rPr>
          <w:rFonts w:ascii="Times New Roman" w:hAnsi="Times New Roman" w:cs="Times New Roman"/>
          <w:sz w:val="24"/>
          <w:szCs w:val="24"/>
        </w:rPr>
        <w:t xml:space="preserve">В настоящих Правилах определения стоимости чистых активов используются термины, предусмотренные в Гражданском кодексе Российской Федерации (часть первая) от 30.11.1994 N 51-ФЗ, Федеральном законе от 22.04.1996 N 39-ФЗ «О рынке ценных бумаг»,  </w:t>
      </w:r>
      <w:r w:rsidRPr="00A12F11">
        <w:rPr>
          <w:rFonts w:ascii="Times New Roman" w:hAnsi="Times New Roman" w:cs="Times New Roman"/>
          <w:sz w:val="24"/>
          <w:szCs w:val="24"/>
          <w:lang w:eastAsia="ru-RU"/>
        </w:rPr>
        <w:t>Федеральном законе  от 29.11.2001 N 156-ФЗ</w:t>
      </w:r>
      <w:r w:rsidRPr="00A12F11">
        <w:rPr>
          <w:rFonts w:ascii="Times New Roman" w:hAnsi="Times New Roman" w:cs="Times New Roman"/>
          <w:sz w:val="24"/>
          <w:szCs w:val="24"/>
        </w:rPr>
        <w:t xml:space="preserve"> «Об инвестиционных фондах» и нормативными актами Банка России, а также следующие термины и определения:</w:t>
      </w:r>
    </w:p>
    <w:p w14:paraId="7A1FE5C5" w14:textId="77777777" w:rsid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Активы –</w:t>
      </w:r>
      <w:r w:rsidRPr="00A12F11">
        <w:rPr>
          <w:rFonts w:ascii="Times New Roman" w:eastAsia="Batang" w:hAnsi="Times New Roman" w:cs="Times New Roman"/>
          <w:color w:val="000000"/>
          <w:sz w:val="24"/>
          <w:szCs w:val="24"/>
        </w:rPr>
        <w:t xml:space="preserve"> денежные средства, ценные бумаги и/или иное имущество, включая имущественные права;</w:t>
      </w:r>
    </w:p>
    <w:p w14:paraId="47900ECB" w14:textId="67246412"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Стоимость чистых активов (СЧА) </w:t>
      </w:r>
      <w:r w:rsidRPr="00A12F11">
        <w:rPr>
          <w:rFonts w:ascii="Times New Roman" w:eastAsia="Batang" w:hAnsi="Times New Roman" w:cs="Times New Roman"/>
          <w:color w:val="000000"/>
          <w:sz w:val="24"/>
          <w:szCs w:val="24"/>
        </w:rPr>
        <w:t>–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14:paraId="7C94515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Правила определения СЧА </w:t>
      </w:r>
      <w:r w:rsidRPr="00A12F11">
        <w:rPr>
          <w:rFonts w:ascii="Times New Roman" w:eastAsia="Batang" w:hAnsi="Times New Roman" w:cs="Times New Roman"/>
          <w:color w:val="000000"/>
          <w:sz w:val="24"/>
          <w:szCs w:val="24"/>
        </w:rPr>
        <w:t>–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14:paraId="61008CE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Справедливая стоимость</w:t>
      </w:r>
      <w:r w:rsidRPr="00A12F11">
        <w:rPr>
          <w:rFonts w:ascii="Times New Roman" w:eastAsia="Batang" w:hAnsi="Times New Roman" w:cs="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D2988B3"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ПФИ</w:t>
      </w:r>
      <w:r w:rsidRPr="00A12F11">
        <w:rPr>
          <w:rFonts w:ascii="Times New Roman" w:eastAsia="Batang" w:hAnsi="Times New Roman" w:cs="Times New Roman"/>
          <w:sz w:val="24"/>
          <w:szCs w:val="24"/>
        </w:rPr>
        <w:t xml:space="preserve"> – производный финансовый инструмент.</w:t>
      </w:r>
    </w:p>
    <w:p w14:paraId="6D6E299E"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Российская биржа</w:t>
      </w:r>
      <w:r w:rsidRPr="00A12F11">
        <w:rPr>
          <w:rFonts w:ascii="Times New Roman" w:eastAsia="Batang" w:hAnsi="Times New Roman" w:cs="Times New Roman"/>
          <w:sz w:val="24"/>
          <w:szCs w:val="24"/>
        </w:rPr>
        <w:t xml:space="preserve"> – российский организатор торговли на рынке ценных бумаг.</w:t>
      </w:r>
    </w:p>
    <w:p w14:paraId="363F967F"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Иностранная биржа</w:t>
      </w:r>
      <w:r w:rsidRPr="00A12F11">
        <w:rPr>
          <w:rFonts w:ascii="Times New Roman" w:eastAsia="Batang" w:hAnsi="Times New Roman" w:cs="Times New Roman"/>
          <w:sz w:val="24"/>
          <w:szCs w:val="24"/>
        </w:rPr>
        <w:t xml:space="preserve"> - иностранная фондовая биржа.</w:t>
      </w:r>
    </w:p>
    <w:p w14:paraId="407D68F8"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Наблюдаемая и доступная биржевая площадка</w:t>
      </w:r>
      <w:r w:rsidRPr="00A12F11">
        <w:rPr>
          <w:rFonts w:ascii="Times New Roman" w:eastAsia="Batang" w:hAnsi="Times New Roman" w:cs="Times New Roman"/>
          <w:color w:val="000000"/>
          <w:sz w:val="24"/>
          <w:szCs w:val="24"/>
        </w:rPr>
        <w:t xml:space="preserve"> – торговая площадка российской и (или) иностранной биржи, к которой у Управляющей компании есть доступ, как напрямую, так и через финансовых посредников. Список наблюдаемых и доступных биржевых площадок указан в Приложении 1.</w:t>
      </w:r>
    </w:p>
    <w:p w14:paraId="2630BBFA"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lastRenderedPageBreak/>
        <w:t>Активный рынок</w:t>
      </w:r>
      <w:r w:rsidRPr="00A12F11">
        <w:rPr>
          <w:rFonts w:ascii="Times New Roman" w:eastAsia="Batang" w:hAnsi="Times New Roman" w:cs="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36A81D0B"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Основной рынок -</w:t>
      </w:r>
      <w:r w:rsidRPr="00A12F11">
        <w:rPr>
          <w:rFonts w:ascii="Times New Roman" w:eastAsia="Batang" w:hAnsi="Times New Roman" w:cs="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6A6F03D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3FF23414"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Кредитный рейтинг</w:t>
      </w:r>
      <w:r w:rsidRPr="00A12F11">
        <w:rPr>
          <w:rFonts w:ascii="Times New Roman" w:eastAsia="Calibri" w:hAnsi="Times New Roman" w:cs="Times New Roman"/>
          <w:sz w:val="24"/>
          <w:szCs w:val="24"/>
        </w:rPr>
        <w:t xml:space="preserve"> – мнение независимого рейтингового агентства о способности рейтингуемого лица исполнять принятые на себя финансовые обязательства </w:t>
      </w:r>
      <w:r w:rsidRPr="00A12F11">
        <w:rPr>
          <w:rFonts w:ascii="Times New Roman" w:eastAsia="Calibri" w:hAnsi="Times New Roman" w:cs="Times New Roman"/>
          <w:sz w:val="24"/>
          <w:szCs w:val="24"/>
        </w:rPr>
        <w:br/>
        <w:t xml:space="preserve">(о его кредитоспособности, финансовой надежности, финансовой устойчивости), выраженное </w:t>
      </w:r>
      <w:r w:rsidRPr="00A12F11">
        <w:rPr>
          <w:rFonts w:ascii="Times New Roman" w:eastAsia="Calibri" w:hAnsi="Times New Roman" w:cs="Times New Roman"/>
          <w:sz w:val="24"/>
          <w:szCs w:val="24"/>
        </w:rPr>
        <w:br/>
        <w:t>с использованием рейтинговой категории по определенной рейтинговой шкале.</w:t>
      </w:r>
    </w:p>
    <w:p w14:paraId="49C4C439"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Уровень цены при определении справедливой стоимости</w:t>
      </w:r>
      <w:r w:rsidRPr="00A12F11">
        <w:rPr>
          <w:rFonts w:ascii="Times New Roman" w:eastAsia="Calibri" w:hAnsi="Times New Roman" w:cs="Times New Roman"/>
          <w:sz w:val="24"/>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0B3041B1" w14:textId="33F77048"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1-й уровень</w:t>
      </w:r>
      <w:r w:rsidRPr="00A12F11">
        <w:rPr>
          <w:rFonts w:ascii="Times New Roman" w:eastAsia="Calibri" w:hAnsi="Times New Roman" w:cs="Times New Roman"/>
          <w:sz w:val="24"/>
          <w:szCs w:val="24"/>
        </w:rPr>
        <w:t xml:space="preserve"> – ценовые котировки (некорректируемые) активных рынков для идентичных активов или обязательств, к которым у организа</w:t>
      </w:r>
      <w:r w:rsidR="004C6E70" w:rsidRPr="00A12F11">
        <w:rPr>
          <w:rFonts w:ascii="Times New Roman" w:eastAsia="Calibri" w:hAnsi="Times New Roman" w:cs="Times New Roman"/>
          <w:sz w:val="24"/>
          <w:szCs w:val="24"/>
        </w:rPr>
        <w:t>ции есть доступ на дату оценки.</w:t>
      </w:r>
    </w:p>
    <w:p w14:paraId="5554C864"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В рамках Уровня 1 акцент делается на определении следующего:</w:t>
      </w:r>
    </w:p>
    <w:p w14:paraId="30987AC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 основного рынка для соответствующего актива или обязательства или, при отсутствии основного рынка, наиболее выгодного рынка для этого актива или обязательства; и</w:t>
      </w:r>
    </w:p>
    <w:p w14:paraId="64ABAF1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 может ли организация заключить сделку в отношении этого актива или обязательства по цене данного рынка на дату оценки.</w:t>
      </w:r>
    </w:p>
    <w:p w14:paraId="2969BE8F"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2-й уровень</w:t>
      </w:r>
      <w:r w:rsidRPr="00A12F11">
        <w:rPr>
          <w:rFonts w:ascii="Times New Roman" w:hAnsi="Times New Roman" w:cs="Times New Roman"/>
          <w:sz w:val="24"/>
          <w:szCs w:val="24"/>
        </w:rPr>
        <w:t xml:space="preserve"> – цена, определенная на основании исходных данных, которые являются прямо или косвенно наблюдаемыми в отношении актива или обязательства, исключая ценовые котировки, отнесенные к Уровню 1.</w:t>
      </w:r>
    </w:p>
    <w:p w14:paraId="58C0315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lastRenderedPageBreak/>
        <w:t>3-й уровень</w:t>
      </w:r>
      <w:r w:rsidRPr="00A12F11">
        <w:rPr>
          <w:rFonts w:ascii="Times New Roman" w:hAnsi="Times New Roman" w:cs="Times New Roman"/>
          <w:sz w:val="24"/>
          <w:szCs w:val="24"/>
        </w:rPr>
        <w:t xml:space="preserve"> – цена, определенная на основании ненаблюдаемые исходных данных в отношении актива или обязательства.</w:t>
      </w:r>
    </w:p>
    <w:p w14:paraId="7EEB837E" w14:textId="49DB43D4"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Операционная дебиторская задолженность</w:t>
      </w:r>
      <w:r w:rsidRPr="00A12F11">
        <w:rPr>
          <w:rFonts w:ascii="Times New Roman" w:eastAsia="Calibri" w:hAnsi="Times New Roman" w:cs="Times New Roman"/>
          <w:sz w:val="24"/>
          <w:szCs w:val="24"/>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4AD5385F" w14:textId="608C5BBE" w:rsidR="00C6057E"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Экспертное (мотивированное) суждение</w:t>
      </w:r>
      <w:r w:rsidRPr="00A12F11">
        <w:rPr>
          <w:rFonts w:ascii="Times New Roman" w:hAnsi="Times New Roman" w:cs="Times New Roman"/>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r w:rsidR="00C901C3" w:rsidRPr="00A12F11">
        <w:rPr>
          <w:rFonts w:ascii="Times New Roman" w:hAnsi="Times New Roman" w:cs="Times New Roman"/>
          <w:sz w:val="24"/>
          <w:szCs w:val="24"/>
        </w:rPr>
        <w:t>.</w:t>
      </w:r>
    </w:p>
    <w:p w14:paraId="03A8757F" w14:textId="70B04B12" w:rsidR="00A12F11" w:rsidRDefault="00A12F11" w:rsidP="00A12F11">
      <w:pPr>
        <w:spacing w:before="240" w:line="360" w:lineRule="auto"/>
        <w:ind w:left="426" w:hanging="426"/>
        <w:jc w:val="both"/>
        <w:rPr>
          <w:rFonts w:ascii="Times New Roman" w:hAnsi="Times New Roman" w:cs="Times New Roman"/>
          <w:sz w:val="24"/>
          <w:szCs w:val="24"/>
        </w:rPr>
      </w:pPr>
    </w:p>
    <w:p w14:paraId="363CEBBF" w14:textId="5A2CE21D" w:rsidR="00A12F11" w:rsidRDefault="00A12F11" w:rsidP="00A12F11">
      <w:pPr>
        <w:spacing w:before="240" w:line="360" w:lineRule="auto"/>
        <w:ind w:left="426" w:hanging="426"/>
        <w:jc w:val="both"/>
        <w:rPr>
          <w:rFonts w:ascii="Times New Roman" w:hAnsi="Times New Roman" w:cs="Times New Roman"/>
          <w:sz w:val="24"/>
          <w:szCs w:val="24"/>
        </w:rPr>
      </w:pPr>
    </w:p>
    <w:p w14:paraId="06EB69AD" w14:textId="1041BDFC" w:rsidR="00A12F11" w:rsidRDefault="00A12F11" w:rsidP="00A12F11">
      <w:pPr>
        <w:spacing w:before="240" w:line="360" w:lineRule="auto"/>
        <w:ind w:left="426" w:hanging="426"/>
        <w:jc w:val="both"/>
        <w:rPr>
          <w:rFonts w:ascii="Times New Roman" w:hAnsi="Times New Roman" w:cs="Times New Roman"/>
          <w:sz w:val="24"/>
          <w:szCs w:val="24"/>
        </w:rPr>
      </w:pPr>
    </w:p>
    <w:p w14:paraId="45221F80" w14:textId="491F38C2" w:rsidR="00A12F11" w:rsidRDefault="00A12F11" w:rsidP="00A12F11">
      <w:pPr>
        <w:spacing w:before="240" w:line="360" w:lineRule="auto"/>
        <w:ind w:left="426" w:hanging="426"/>
        <w:jc w:val="both"/>
        <w:rPr>
          <w:rFonts w:ascii="Times New Roman" w:hAnsi="Times New Roman" w:cs="Times New Roman"/>
          <w:sz w:val="24"/>
          <w:szCs w:val="24"/>
        </w:rPr>
      </w:pPr>
    </w:p>
    <w:p w14:paraId="4DD13A59" w14:textId="6EB85A4C" w:rsidR="00A12F11" w:rsidRDefault="00A12F11" w:rsidP="00A12F11">
      <w:pPr>
        <w:spacing w:before="240" w:line="360" w:lineRule="auto"/>
        <w:ind w:left="426" w:hanging="426"/>
        <w:jc w:val="both"/>
        <w:rPr>
          <w:rFonts w:ascii="Times New Roman" w:hAnsi="Times New Roman" w:cs="Times New Roman"/>
          <w:sz w:val="24"/>
          <w:szCs w:val="24"/>
        </w:rPr>
      </w:pPr>
    </w:p>
    <w:p w14:paraId="316CFA04" w14:textId="3CC02E37" w:rsidR="00A12F11" w:rsidRDefault="00A12F11" w:rsidP="00A12F11">
      <w:pPr>
        <w:spacing w:before="240" w:line="360" w:lineRule="auto"/>
        <w:ind w:left="426" w:hanging="426"/>
        <w:jc w:val="both"/>
        <w:rPr>
          <w:rFonts w:ascii="Times New Roman" w:hAnsi="Times New Roman" w:cs="Times New Roman"/>
          <w:sz w:val="24"/>
          <w:szCs w:val="24"/>
        </w:rPr>
      </w:pPr>
    </w:p>
    <w:p w14:paraId="33B9C7C0" w14:textId="7930ED6F" w:rsidR="00A12F11" w:rsidRDefault="00A12F11" w:rsidP="00A12F11">
      <w:pPr>
        <w:spacing w:before="240" w:line="360" w:lineRule="auto"/>
        <w:ind w:left="426" w:hanging="426"/>
        <w:jc w:val="both"/>
        <w:rPr>
          <w:rFonts w:ascii="Times New Roman" w:hAnsi="Times New Roman" w:cs="Times New Roman"/>
          <w:sz w:val="24"/>
          <w:szCs w:val="24"/>
        </w:rPr>
      </w:pPr>
    </w:p>
    <w:p w14:paraId="6511AF9C" w14:textId="728AF046" w:rsidR="00A12F11" w:rsidRDefault="00A12F11" w:rsidP="00A12F11">
      <w:pPr>
        <w:spacing w:before="240" w:line="360" w:lineRule="auto"/>
        <w:ind w:left="426" w:hanging="426"/>
        <w:jc w:val="both"/>
        <w:rPr>
          <w:rFonts w:ascii="Times New Roman" w:hAnsi="Times New Roman" w:cs="Times New Roman"/>
          <w:sz w:val="24"/>
          <w:szCs w:val="24"/>
        </w:rPr>
      </w:pPr>
    </w:p>
    <w:p w14:paraId="5730B041" w14:textId="01E68D27" w:rsidR="00A12F11" w:rsidRDefault="00A12F11" w:rsidP="00A12F11">
      <w:pPr>
        <w:spacing w:before="240" w:line="360" w:lineRule="auto"/>
        <w:ind w:left="426" w:hanging="426"/>
        <w:jc w:val="both"/>
        <w:rPr>
          <w:rFonts w:ascii="Times New Roman" w:hAnsi="Times New Roman" w:cs="Times New Roman"/>
          <w:sz w:val="24"/>
          <w:szCs w:val="24"/>
        </w:rPr>
      </w:pPr>
    </w:p>
    <w:p w14:paraId="04C1B4FD" w14:textId="1648FAA6" w:rsidR="00A12F11" w:rsidRDefault="00A12F11" w:rsidP="00A12F11">
      <w:pPr>
        <w:spacing w:before="240" w:line="360" w:lineRule="auto"/>
        <w:ind w:left="426" w:hanging="426"/>
        <w:jc w:val="both"/>
        <w:rPr>
          <w:rFonts w:ascii="Times New Roman" w:hAnsi="Times New Roman" w:cs="Times New Roman"/>
          <w:sz w:val="24"/>
          <w:szCs w:val="24"/>
        </w:rPr>
      </w:pPr>
    </w:p>
    <w:p w14:paraId="138AD450" w14:textId="77777777" w:rsidR="00A12F11" w:rsidRPr="00A12F11" w:rsidRDefault="00A12F11" w:rsidP="00A12F11">
      <w:pPr>
        <w:spacing w:before="240" w:line="360" w:lineRule="auto"/>
        <w:ind w:left="426" w:hanging="426"/>
        <w:jc w:val="both"/>
        <w:rPr>
          <w:rFonts w:ascii="Times New Roman" w:hAnsi="Times New Roman" w:cs="Times New Roman"/>
          <w:sz w:val="24"/>
          <w:szCs w:val="24"/>
        </w:rPr>
      </w:pPr>
    </w:p>
    <w:p w14:paraId="44F66626" w14:textId="77777777"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sz w:val="24"/>
          <w:szCs w:val="24"/>
          <w:lang w:eastAsia="ru-RU"/>
        </w:rPr>
        <w:t>ОБЩИЕ ПОЛОЖЕНИЯ:</w:t>
      </w:r>
    </w:p>
    <w:p w14:paraId="3BB9A03D" w14:textId="330EE232"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Настоящие Правила определения СЧА </w:t>
      </w:r>
      <w:r w:rsidR="00055C2E" w:rsidRPr="00A12F11">
        <w:rPr>
          <w:rFonts w:ascii="Times New Roman" w:eastAsia="Times New Roman" w:hAnsi="Times New Roman" w:cs="Times New Roman"/>
          <w:sz w:val="24"/>
          <w:szCs w:val="24"/>
          <w:lang w:eastAsia="ru-RU"/>
        </w:rPr>
        <w:t>Закрытого паевого инвестиционного рентного  фонда «Своя земля-рентный»</w:t>
      </w:r>
      <w:r w:rsidRPr="00A12F11">
        <w:rPr>
          <w:rFonts w:ascii="Times New Roman" w:eastAsia="Times New Roman" w:hAnsi="Times New Roman" w:cs="Times New Roman"/>
          <w:sz w:val="24"/>
          <w:szCs w:val="24"/>
          <w:lang w:eastAsia="ru-RU"/>
        </w:rPr>
        <w:t xml:space="preserve"> (далее – Фонд) под управлением Общества с ограниченной ответственностью </w:t>
      </w:r>
      <w:r w:rsidR="00055C2E" w:rsidRPr="00A12F11">
        <w:rPr>
          <w:rFonts w:ascii="Times New Roman" w:eastAsia="Times New Roman" w:hAnsi="Times New Roman" w:cs="Times New Roman"/>
          <w:sz w:val="24"/>
          <w:szCs w:val="24"/>
          <w:lang w:eastAsia="ru-RU"/>
        </w:rPr>
        <w:t xml:space="preserve">«УПРАВЛЯЮЩАЯ КОМПАНИЯ «ТОВАРИЩЕСТВО ДОВЕРИТЕЛЬНОГО УПРАВЛЕНИЯ» </w:t>
      </w:r>
      <w:r w:rsidRPr="00A12F11">
        <w:rPr>
          <w:rFonts w:ascii="Times New Roman" w:eastAsia="Times New Roman" w:hAnsi="Times New Roman" w:cs="Times New Roman"/>
          <w:sz w:val="24"/>
          <w:szCs w:val="24"/>
          <w:lang w:eastAsia="ru-RU"/>
        </w:rPr>
        <w:t xml:space="preserve">(далее – Управляющая компания) разработаны в соответствии </w:t>
      </w:r>
      <w:r w:rsidRPr="00A12F11">
        <w:rPr>
          <w:rFonts w:ascii="Times New Roman" w:hAnsi="Times New Roman" w:cs="Times New Roman"/>
          <w:color w:val="000000" w:themeColor="text1"/>
          <w:sz w:val="24"/>
          <w:szCs w:val="24"/>
          <w:lang w:eastAsia="ru-RU"/>
        </w:rPr>
        <w:t xml:space="preserve">с </w:t>
      </w:r>
      <w:r w:rsidRPr="00A12F11">
        <w:rPr>
          <w:rFonts w:ascii="Times New Roman" w:eastAsia="Times New Roman" w:hAnsi="Times New Roman" w:cs="Times New Roman"/>
          <w:sz w:val="24"/>
          <w:szCs w:val="24"/>
          <w:lang w:eastAsia="ru-RU"/>
        </w:rPr>
        <w:t xml:space="preserve">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и принятыми в соответствии с ними нормативными актами. </w:t>
      </w:r>
    </w:p>
    <w:p w14:paraId="5B45153B" w14:textId="4C843539"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Настоящие Правила определения СЧА применяются с  «</w:t>
      </w:r>
      <w:r w:rsidR="00A12F11" w:rsidRPr="00A12F11">
        <w:rPr>
          <w:rFonts w:ascii="Times New Roman" w:eastAsia="Times New Roman" w:hAnsi="Times New Roman" w:cs="Times New Roman"/>
          <w:sz w:val="24"/>
          <w:szCs w:val="24"/>
          <w:lang w:eastAsia="ru-RU"/>
        </w:rPr>
        <w:t xml:space="preserve"> </w:t>
      </w:r>
      <w:r w:rsidR="003D1DCA">
        <w:rPr>
          <w:rFonts w:ascii="Times New Roman" w:eastAsia="Times New Roman" w:hAnsi="Times New Roman" w:cs="Times New Roman"/>
          <w:sz w:val="24"/>
          <w:szCs w:val="24"/>
          <w:lang w:eastAsia="ru-RU"/>
        </w:rPr>
        <w:t>30</w:t>
      </w:r>
      <w:r w:rsidR="00A12F11"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w:t>
      </w:r>
      <w:r w:rsidR="00055C2E" w:rsidRPr="00A12F11">
        <w:rPr>
          <w:rFonts w:ascii="Times New Roman" w:eastAsia="Times New Roman" w:hAnsi="Times New Roman" w:cs="Times New Roman"/>
          <w:sz w:val="24"/>
          <w:szCs w:val="24"/>
          <w:lang w:eastAsia="ru-RU"/>
        </w:rPr>
        <w:t xml:space="preserve"> июля </w:t>
      </w:r>
      <w:r w:rsidRPr="00A12F11">
        <w:rPr>
          <w:rFonts w:ascii="Times New Roman" w:eastAsia="Times New Roman" w:hAnsi="Times New Roman" w:cs="Times New Roman"/>
          <w:sz w:val="24"/>
          <w:szCs w:val="24"/>
          <w:lang w:eastAsia="ru-RU"/>
        </w:rPr>
        <w:t>20</w:t>
      </w:r>
      <w:r w:rsidR="00055C2E" w:rsidRPr="00A12F11">
        <w:rPr>
          <w:rFonts w:ascii="Times New Roman" w:eastAsia="Times New Roman" w:hAnsi="Times New Roman" w:cs="Times New Roman"/>
          <w:sz w:val="24"/>
          <w:szCs w:val="24"/>
          <w:lang w:eastAsia="ru-RU"/>
        </w:rPr>
        <w:t xml:space="preserve">21 </w:t>
      </w:r>
      <w:r w:rsidRPr="00A12F11">
        <w:rPr>
          <w:rFonts w:ascii="Times New Roman" w:eastAsia="Times New Roman" w:hAnsi="Times New Roman" w:cs="Times New Roman"/>
          <w:sz w:val="24"/>
          <w:szCs w:val="24"/>
          <w:lang w:eastAsia="ru-RU"/>
        </w:rPr>
        <w:t>г.</w:t>
      </w:r>
    </w:p>
    <w:p w14:paraId="044C66CF" w14:textId="3A96A5C5"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14:paraId="40624ADC" w14:textId="51D4189F"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bookmarkStart w:id="0" w:name="_Hlk73707887"/>
      <w:r w:rsidRPr="00A12F11">
        <w:rPr>
          <w:rFonts w:ascii="Times New Roman" w:eastAsia="Times New Roman" w:hAnsi="Times New Roman" w:cs="Times New Roman"/>
          <w:sz w:val="24"/>
          <w:szCs w:val="24"/>
          <w:lang w:eastAsia="ru-RU"/>
        </w:rPr>
        <w:t>Управляющая компания Фонда обязана определять СЧА в соответствии с Правилами, при условии их согласования Специализированным депозитарием Фонда.</w:t>
      </w:r>
      <w:bookmarkEnd w:id="0"/>
    </w:p>
    <w:p w14:paraId="6BA43DF4" w14:textId="0050EA6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w:t>
      </w:r>
    </w:p>
    <w:p w14:paraId="16E99C79"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дня начала срока формирования ПИФ;</w:t>
      </w:r>
    </w:p>
    <w:p w14:paraId="1B2497EA"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пяти рабочих дней до даты начала применения Правил определения СЧА, с внесенными изменениями и дополнениями.</w:t>
      </w:r>
    </w:p>
    <w:p w14:paraId="65E4AA32" w14:textId="3FECA17C"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 все изменения и дополнения к ним за три последних календарных года)</w:t>
      </w:r>
      <w:r w:rsidRPr="00A12F11">
        <w:rPr>
          <w:rFonts w:ascii="Times New Roman" w:hAnsi="Times New Roman" w:cs="Times New Roman"/>
          <w:sz w:val="24"/>
          <w:szCs w:val="24"/>
        </w:rPr>
        <w:t xml:space="preserve"> должны быть доступны в течение трех последних календарных лет на сайте управляющей компании</w:t>
      </w:r>
    </w:p>
    <w:p w14:paraId="6104A8C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Данные, подтверждающие расчёты величин, произведенные в соответствии с Правилами, хранятся не менее 3 (Трёх) лет с даты соответствующего расчёта.</w:t>
      </w:r>
    </w:p>
    <w:p w14:paraId="5831430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Управляющей компании, не должны различаться.</w:t>
      </w:r>
    </w:p>
    <w:p w14:paraId="298D90B1"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14:paraId="632A715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Копии отчётов оценщиков, использованных в течение 3 (Трёх) последних лет при определении СЧА, предоставляются по требованию владельцев инвестиционных паёв Фонда. Плата, взимаемая за предоставление указанных копий, не может превышать затрат на их изготовление.</w:t>
      </w:r>
    </w:p>
    <w:p w14:paraId="22ED779A" w14:textId="54F0E742"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СЧА И СРЕДНЕГОДОВОЙ СЧА</w:t>
      </w:r>
    </w:p>
    <w:p w14:paraId="0B120605"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14:paraId="4D7DB4B3"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0A25D1EC" w14:textId="53222A6A" w:rsidR="00411A4A"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как разница между стоимостью </w:t>
      </w:r>
      <w:r w:rsidR="00242A17" w:rsidRPr="00A12F11">
        <w:rPr>
          <w:rFonts w:ascii="Times New Roman" w:eastAsia="Times New Roman" w:hAnsi="Times New Roman" w:cs="Times New Roman"/>
          <w:sz w:val="24"/>
          <w:szCs w:val="24"/>
          <w:lang w:eastAsia="ru-RU"/>
        </w:rPr>
        <w:t xml:space="preserve">всех </w:t>
      </w:r>
      <w:r w:rsidRPr="00A12F11">
        <w:rPr>
          <w:rFonts w:ascii="Times New Roman" w:eastAsia="Times New Roman" w:hAnsi="Times New Roman" w:cs="Times New Roman"/>
          <w:sz w:val="24"/>
          <w:szCs w:val="24"/>
          <w:lang w:eastAsia="ru-RU"/>
        </w:rPr>
        <w:t>активов</w:t>
      </w:r>
      <w:r w:rsidR="00242A17" w:rsidRPr="00A12F11">
        <w:rPr>
          <w:rFonts w:ascii="Times New Roman" w:eastAsia="Times New Roman" w:hAnsi="Times New Roman" w:cs="Times New Roman"/>
          <w:sz w:val="24"/>
          <w:szCs w:val="24"/>
          <w:lang w:eastAsia="ru-RU"/>
        </w:rPr>
        <w:t xml:space="preserve"> Фонда</w:t>
      </w:r>
      <w:r w:rsidRPr="00A12F11">
        <w:rPr>
          <w:rFonts w:ascii="Times New Roman" w:eastAsia="Times New Roman" w:hAnsi="Times New Roman" w:cs="Times New Roman"/>
          <w:sz w:val="24"/>
          <w:szCs w:val="24"/>
          <w:lang w:eastAsia="ru-RU"/>
        </w:rPr>
        <w:t xml:space="preserve">, и обязательств, </w:t>
      </w:r>
      <w:r w:rsidR="00242A17" w:rsidRPr="00A12F11">
        <w:rPr>
          <w:rFonts w:ascii="Times New Roman" w:eastAsia="Times New Roman" w:hAnsi="Times New Roman" w:cs="Times New Roman"/>
          <w:sz w:val="24"/>
          <w:szCs w:val="24"/>
          <w:lang w:eastAsia="ru-RU"/>
        </w:rPr>
        <w:t xml:space="preserve">подлежащих исполнению за счет указанных активов, </w:t>
      </w:r>
      <w:r w:rsidRPr="00A12F11">
        <w:rPr>
          <w:rFonts w:ascii="Times New Roman" w:eastAsia="Times New Roman" w:hAnsi="Times New Roman" w:cs="Times New Roman"/>
          <w:sz w:val="24"/>
          <w:szCs w:val="24"/>
          <w:lang w:eastAsia="ru-RU"/>
        </w:rPr>
        <w:t>на момент определения СЧА в соответствии с настоящими Правилами определения СЧА.</w:t>
      </w:r>
    </w:p>
    <w:p w14:paraId="4CBEB171" w14:textId="47B8732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(дата определения СЧА): </w:t>
      </w:r>
    </w:p>
    <w:p w14:paraId="4AAA1E95" w14:textId="6E7FA143"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на дату завершения (окончания) формирования ПИФ;</w:t>
      </w:r>
    </w:p>
    <w:p w14:paraId="7B640E7F" w14:textId="7898D69E"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приостановления выдачи, погашения и обмена инвестиционных паев – на дату возобновления их выдачи, погашения и обмена;</w:t>
      </w:r>
    </w:p>
    <w:p w14:paraId="488D0C35" w14:textId="17BB74EF"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прекращения ПИФ – на дату возникновения основания его прекращения;</w:t>
      </w:r>
    </w:p>
    <w:p w14:paraId="661A20A6" w14:textId="469D500B" w:rsidR="001654B1" w:rsidRPr="00A12F11" w:rsidRDefault="00411A4A" w:rsidP="00A12F11">
      <w:pPr>
        <w:spacing w:before="240" w:line="360"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w:t>
      </w:r>
      <w:r w:rsidR="001654B1" w:rsidRPr="00A12F11">
        <w:rPr>
          <w:rFonts w:ascii="Times New Roman" w:hAnsi="Times New Roman" w:cs="Times New Roman"/>
          <w:b/>
          <w:sz w:val="24"/>
          <w:szCs w:val="24"/>
        </w:rPr>
        <w:t>осле завершения (окончания) формирования СЧА ПИФ определяется:</w:t>
      </w:r>
    </w:p>
    <w:p w14:paraId="7AA3DAB0" w14:textId="5C99AE02"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B099A3B" w14:textId="5EB597F5" w:rsidR="001654B1" w:rsidRPr="00A12F11" w:rsidRDefault="00411A4A"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 xml:space="preserve">на </w:t>
      </w:r>
      <w:r w:rsidR="001654B1" w:rsidRPr="00A12F11">
        <w:rPr>
          <w:rFonts w:ascii="Times New Roman" w:eastAsia="Times New Roman" w:hAnsi="Times New Roman" w:cs="Times New Roman"/>
          <w:sz w:val="24"/>
          <w:szCs w:val="24"/>
          <w:lang w:eastAsia="ru-RU"/>
        </w:rPr>
        <w:t>последний рабочий день срока приема заявок на приобретение инвестиционных паев, выдаваемых при досрочном погашении инвестиционных паев;</w:t>
      </w:r>
    </w:p>
    <w:p w14:paraId="3A6EB2DC" w14:textId="5E675699"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lastRenderedPageBreak/>
        <w:t xml:space="preserve">- </w:t>
      </w:r>
      <w:r w:rsidR="001654B1" w:rsidRPr="00A12F11">
        <w:rPr>
          <w:rFonts w:ascii="Times New Roman" w:eastAsia="Times New Roman" w:hAnsi="Times New Roman" w:cs="Times New Roman"/>
          <w:sz w:val="24"/>
          <w:szCs w:val="24"/>
          <w:lang w:eastAsia="ru-RU"/>
        </w:rPr>
        <w:t>на последний рабочий день срока приема заявок на приобретение дополнительных инвестиционных паев</w:t>
      </w:r>
      <w:r w:rsidR="00BB664A" w:rsidRPr="00A12F11">
        <w:rPr>
          <w:rFonts w:ascii="Times New Roman" w:eastAsia="Times New Roman" w:hAnsi="Times New Roman" w:cs="Times New Roman"/>
          <w:sz w:val="24"/>
          <w:szCs w:val="24"/>
          <w:lang w:eastAsia="ru-RU"/>
        </w:rPr>
        <w:t>.</w:t>
      </w:r>
    </w:p>
    <w:p w14:paraId="43D06B47" w14:textId="4000CBE8"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29EA3D1E" w14:textId="523D6244"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61CC8" w:rsidRPr="00A12F11">
        <w:rPr>
          <w:rFonts w:ascii="Times New Roman" w:eastAsia="Times New Roman" w:hAnsi="Times New Roman" w:cs="Times New Roman"/>
          <w:sz w:val="24"/>
          <w:szCs w:val="24"/>
          <w:lang w:eastAsia="ru-RU"/>
        </w:rPr>
        <w:t>)</w:t>
      </w:r>
      <w:r w:rsidRPr="00A12F11">
        <w:rPr>
          <w:rFonts w:ascii="Times New Roman" w:eastAsia="Times New Roman" w:hAnsi="Times New Roman" w:cs="Times New Roman"/>
          <w:sz w:val="24"/>
          <w:szCs w:val="24"/>
          <w:lang w:eastAsia="ru-RU"/>
        </w:rPr>
        <w:t xml:space="preserve"> до даты расчета СГСЧА к числу рабочих дней</w:t>
      </w:r>
      <w:r w:rsidR="00565FB9" w:rsidRPr="00A12F11">
        <w:rPr>
          <w:rFonts w:ascii="Times New Roman" w:eastAsia="Times New Roman" w:hAnsi="Times New Roman" w:cs="Times New Roman"/>
          <w:sz w:val="24"/>
          <w:szCs w:val="24"/>
          <w:lang w:eastAsia="ru-RU"/>
        </w:rPr>
        <w:t xml:space="preserve"> за этот период</w:t>
      </w:r>
      <w:r w:rsidR="00BB664A" w:rsidRPr="00A12F11">
        <w:rPr>
          <w:rFonts w:ascii="Times New Roman" w:eastAsia="Times New Roman" w:hAnsi="Times New Roman" w:cs="Times New Roman"/>
          <w:sz w:val="24"/>
          <w:szCs w:val="24"/>
          <w:lang w:eastAsia="ru-RU"/>
        </w:rPr>
        <w:t>.</w:t>
      </w:r>
    </w:p>
    <w:p w14:paraId="1A376C50"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10AA04B7" w14:textId="6BE9BF53" w:rsidR="00C6057E" w:rsidRPr="00A12F11" w:rsidRDefault="001654B1"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sz w:val="24"/>
          <w:szCs w:val="24"/>
          <w:lang w:eastAsia="ru-RU"/>
        </w:rPr>
        <w:t xml:space="preserve">СЧА, в том числе среднегодовая 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 в рублях. </w:t>
      </w:r>
    </w:p>
    <w:p w14:paraId="308AA68A" w14:textId="2FDEAA1D" w:rsidR="009931FC" w:rsidRPr="00A12F11" w:rsidRDefault="009931FC"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СПРАВЕДЛИВОЙ СТОИМОСТИ АКТИВОВ И ОБЯЗАТЕЛЬСТВ:</w:t>
      </w:r>
    </w:p>
    <w:p w14:paraId="5223D24D" w14:textId="497C3CF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Стоимость активов и </w:t>
      </w:r>
      <w:r w:rsidR="00242A17" w:rsidRPr="00A12F11">
        <w:rPr>
          <w:rFonts w:ascii="Times New Roman" w:eastAsia="Times New Roman" w:hAnsi="Times New Roman" w:cs="Times New Roman"/>
          <w:sz w:val="24"/>
          <w:szCs w:val="24"/>
          <w:lang w:eastAsia="ru-RU"/>
        </w:rPr>
        <w:t xml:space="preserve">величина </w:t>
      </w:r>
      <w:r w:rsidRPr="00A12F11">
        <w:rPr>
          <w:rFonts w:ascii="Times New Roman" w:eastAsia="Times New Roman" w:hAnsi="Times New Roman" w:cs="Times New Roman"/>
          <w:sz w:val="24"/>
          <w:szCs w:val="24"/>
          <w:lang w:eastAsia="ru-RU"/>
        </w:rPr>
        <w:t>обязательств ПИФ определяются по справедливой стоимости в соответствии с МСФО.</w:t>
      </w:r>
    </w:p>
    <w:p w14:paraId="4347A977"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sidDel="00C4262F">
        <w:rPr>
          <w:rFonts w:ascii="Times New Roman" w:eastAsia="Times New Roman" w:hAnsi="Times New Roman" w:cs="Times New Roman"/>
          <w:sz w:val="24"/>
          <w:szCs w:val="24"/>
          <w:lang w:eastAsia="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2F3D1DBD"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6AA9787" w14:textId="645FC1ED"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10" w:history="1">
        <w:r w:rsidRPr="00A12F11">
          <w:rPr>
            <w:rFonts w:ascii="Times New Roman" w:eastAsia="Times New Roman" w:hAnsi="Times New Roman" w:cs="Times New Roman"/>
            <w:sz w:val="24"/>
            <w:szCs w:val="24"/>
            <w:lang w:eastAsia="ru-RU"/>
          </w:rPr>
          <w:t>законом</w:t>
        </w:r>
      </w:hyperlink>
      <w:r w:rsidRPr="00A12F11">
        <w:rPr>
          <w:rFonts w:ascii="Times New Roman" w:eastAsia="Times New Roman" w:hAnsi="Times New Roman" w:cs="Times New Roman"/>
          <w:sz w:val="24"/>
          <w:szCs w:val="24"/>
          <w:lang w:eastAsia="ru-RU"/>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 а так же имеющим квалификационный аттестат по соответствующему направлению оценочной деятельности.</w:t>
      </w:r>
    </w:p>
    <w:p w14:paraId="61699364" w14:textId="53F25C6D" w:rsidR="004C52B1"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w:t>
      </w:r>
      <w:r w:rsidR="00A46E4C" w:rsidRPr="00A12F11">
        <w:rPr>
          <w:rFonts w:ascii="Times New Roman" w:eastAsia="Times New Roman" w:hAnsi="Times New Roman" w:cs="Times New Roman"/>
          <w:sz w:val="24"/>
          <w:szCs w:val="24"/>
          <w:lang w:eastAsia="ru-RU"/>
        </w:rPr>
        <w:t xml:space="preserve"> </w:t>
      </w:r>
    </w:p>
    <w:p w14:paraId="542D4D94" w14:textId="51A166F3" w:rsidR="004A3A89" w:rsidRPr="00A12F11" w:rsidRDefault="009931FC" w:rsidP="00A12F11">
      <w:pPr>
        <w:spacing w:before="240" w:line="360" w:lineRule="auto"/>
        <w:ind w:left="426" w:hanging="426"/>
        <w:jc w:val="both"/>
        <w:rPr>
          <w:rFonts w:ascii="Times New Roman" w:eastAsia="Times New Roman" w:hAnsi="Times New Roman" w:cs="Times New Roman"/>
          <w:color w:val="FF0000"/>
          <w:sz w:val="24"/>
          <w:szCs w:val="24"/>
          <w:lang w:eastAsia="ru-RU"/>
        </w:rPr>
      </w:pPr>
      <w:r w:rsidRPr="00A12F11">
        <w:rPr>
          <w:rFonts w:ascii="Times New Roman" w:eastAsia="Times New Roman" w:hAnsi="Times New Roman" w:cs="Times New Roman"/>
          <w:sz w:val="24"/>
          <w:szCs w:val="24"/>
          <w:lang w:eastAsia="ru-RU"/>
        </w:rPr>
        <w:t xml:space="preserve">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w:t>
      </w:r>
      <w:r w:rsidR="00BB664A" w:rsidRPr="00A12F11">
        <w:rPr>
          <w:rFonts w:ascii="Times New Roman" w:eastAsia="Times New Roman" w:hAnsi="Times New Roman" w:cs="Times New Roman"/>
          <w:sz w:val="24"/>
          <w:szCs w:val="24"/>
          <w:lang w:eastAsia="ru-RU"/>
        </w:rPr>
        <w:t>составленного с</w:t>
      </w:r>
      <w:r w:rsidRPr="00A12F11">
        <w:rPr>
          <w:rFonts w:ascii="Times New Roman" w:eastAsia="Times New Roman" w:hAnsi="Times New Roman" w:cs="Times New Roman"/>
          <w:sz w:val="24"/>
          <w:szCs w:val="24"/>
          <w:lang w:eastAsia="ru-RU"/>
        </w:rPr>
        <w:t xml:space="preserve"> соблюдением требований нормативных правовых актов.</w:t>
      </w:r>
    </w:p>
    <w:p w14:paraId="6DF020D7" w14:textId="015DC3C6" w:rsidR="00561762"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Справедливая стоимость обязательств (кредиторская задолженность), включается в расчет СЧ</w:t>
      </w:r>
      <w:r w:rsidRPr="00A12F11">
        <w:rPr>
          <w:rFonts w:ascii="Times New Roman" w:eastAsia="Times New Roman" w:hAnsi="Times New Roman" w:cs="Times New Roman"/>
          <w:sz w:val="24"/>
          <w:szCs w:val="24"/>
          <w:lang w:eastAsia="ru-RU"/>
        </w:rPr>
        <w:t>А в размере ее остатка на дату определения СЧА. Не дисконтируется.</w:t>
      </w:r>
    </w:p>
    <w:p w14:paraId="2568789A"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КРИТЕРИИ ПРИЗНАНИЯ (ПРЕКРАЩЕНИЯ ПРИЗНАНИЯ) АКТИВОВ И ОБЯЗАТЕЛЬСТВ </w:t>
      </w:r>
    </w:p>
    <w:p w14:paraId="33E771EE" w14:textId="57D44473" w:rsidR="005852E9" w:rsidRPr="00A12F11" w:rsidRDefault="0012297D"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Активы и </w:t>
      </w:r>
      <w:r w:rsidR="005852E9" w:rsidRPr="00A12F11">
        <w:rPr>
          <w:rFonts w:ascii="Times New Roman" w:eastAsia="Times New Roman" w:hAnsi="Times New Roman" w:cs="Times New Roman"/>
          <w:sz w:val="24"/>
          <w:szCs w:val="24"/>
          <w:lang w:eastAsia="ru-RU"/>
        </w:rPr>
        <w:t>обязательства принимаются к расчету стоимости чистых активов в случае их соответствия критериям признания в соответствии с Международными стандартами финансовой отчетности, введенными в действие на территории Российской Федерации.</w:t>
      </w:r>
    </w:p>
    <w:p w14:paraId="510A83F6" w14:textId="33FD9AEF"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Критерии признания и прекращения признания активов и о</w:t>
      </w:r>
      <w:r w:rsidR="0012297D" w:rsidRPr="00A12F11">
        <w:rPr>
          <w:rFonts w:ascii="Times New Roman" w:eastAsia="Times New Roman" w:hAnsi="Times New Roman" w:cs="Times New Roman"/>
          <w:sz w:val="24"/>
          <w:szCs w:val="24"/>
          <w:lang w:eastAsia="ru-RU"/>
        </w:rPr>
        <w:t>бязательств указаны в Приложениях</w:t>
      </w:r>
      <w:r w:rsidRPr="00A12F11">
        <w:rPr>
          <w:rFonts w:ascii="Times New Roman" w:eastAsia="Times New Roman" w:hAnsi="Times New Roman" w:cs="Times New Roman"/>
          <w:sz w:val="24"/>
          <w:szCs w:val="24"/>
          <w:lang w:eastAsia="ru-RU"/>
        </w:rPr>
        <w:t xml:space="preserve"> к Правилам СЧА. </w:t>
      </w:r>
    </w:p>
    <w:p w14:paraId="00E3DACC" w14:textId="29D86AAE" w:rsidR="009931FC" w:rsidRPr="00A12F11" w:rsidRDefault="009931FC"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КОНВЕРТАЦИИ СТОИМОСТЕЙ, ВЫРАЖЕННЫХ В ОДНОЙ ВАЛЮТЕ, В ДРУГУЮ ВАЛЮТУ</w:t>
      </w:r>
    </w:p>
    <w:p w14:paraId="404D7603"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Стоимость активов и обязательств, выраженная в иностранной валюте  принимается в расчет СЧА в рублях по курсу Банка России на дату определения их справедливой стоимости. </w:t>
      </w:r>
    </w:p>
    <w:p w14:paraId="76B529E1"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Банком России не установлен курс этой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7556C88D" w14:textId="0586FAC2"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Кросс курс = CUR/USD * USD/RUR,</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где</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ab/>
        <w:t>USD/RUR – официальный курс Доллара США, установленный Банком России на дату оценки</w:t>
      </w:r>
    </w:p>
    <w:p w14:paraId="1D58AEC1" w14:textId="3028C4C1"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CUR/USD – курс валюты, в которой выражена справедливая стоимость, к Доллару США, полученный по данным информационной системы Bloomberg.</w:t>
      </w:r>
    </w:p>
    <w:p w14:paraId="7CAACB3F"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ПОРЯДОК РАСЧЕТА ВЕЛИЧИНЫ РЕЗЕРВА </w:t>
      </w:r>
    </w:p>
    <w:p w14:paraId="067B4B0D" w14:textId="42FAE041" w:rsidR="003844C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Фонда (далее – резерв на выплату прочих вознаграждений).</w:t>
      </w:r>
    </w:p>
    <w:p w14:paraId="49AD327C" w14:textId="47595901" w:rsidR="004E5154"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w:t>
      </w:r>
      <w:r w:rsidR="003844C3" w:rsidRPr="00A12F11">
        <w:rPr>
          <w:rFonts w:ascii="Times New Roman" w:eastAsia="Times New Roman" w:hAnsi="Times New Roman" w:cs="Times New Roman"/>
          <w:sz w:val="24"/>
          <w:szCs w:val="24"/>
          <w:lang w:eastAsia="ru-RU"/>
        </w:rPr>
        <w:t xml:space="preserve">начисляется и отражается в составе обязательств ПИФ в течение отчетного </w:t>
      </w:r>
      <w:r w:rsidR="00C6057E" w:rsidRPr="00A12F11">
        <w:rPr>
          <w:rFonts w:ascii="Times New Roman" w:eastAsia="Times New Roman" w:hAnsi="Times New Roman" w:cs="Times New Roman"/>
          <w:sz w:val="24"/>
          <w:szCs w:val="24"/>
          <w:lang w:eastAsia="ru-RU"/>
        </w:rPr>
        <w:t>года:</w:t>
      </w:r>
      <w:r w:rsidRPr="00A12F11">
        <w:rPr>
          <w:rFonts w:ascii="Times New Roman" w:eastAsia="Times New Roman" w:hAnsi="Times New Roman" w:cs="Times New Roman"/>
          <w:sz w:val="24"/>
          <w:szCs w:val="24"/>
          <w:lang w:eastAsia="ru-RU"/>
        </w:rPr>
        <w:t xml:space="preserve"> с наиболее поздней из двух дат – даты начала календарного года или даты завершения (окончания) формирования </w:t>
      </w:r>
      <w:r w:rsidR="004E5154" w:rsidRPr="00A12F11">
        <w:rPr>
          <w:rFonts w:ascii="Times New Roman" w:eastAsia="Times New Roman" w:hAnsi="Times New Roman" w:cs="Times New Roman"/>
          <w:sz w:val="24"/>
          <w:szCs w:val="24"/>
          <w:lang w:eastAsia="ru-RU"/>
        </w:rPr>
        <w:t>Фонда.</w:t>
      </w:r>
    </w:p>
    <w:p w14:paraId="068BFB3F" w14:textId="4CA8400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Прекращение признания резерва на выплату вознаграждений происходит при наступлении одной из следующих дат:</w:t>
      </w:r>
    </w:p>
    <w:p w14:paraId="43325A1B" w14:textId="0CE0365A"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окончания календарного года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7DB79CD0" w14:textId="3E13136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возникновения основания для прекращения ПИФ (включительно) в части резерва на выплату вознаграждения управляющей компании;</w:t>
      </w:r>
    </w:p>
    <w:p w14:paraId="0807E40F" w14:textId="75D0B4D6"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наиболее поздней из двух дат при прекращении - даты окончания приема требований кредиторов Фонда или даты окончания реализации всего имущества Фонда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31C4B6BE" w14:textId="2FF79002"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определенный исходя из размера вознаграждения, предусмотренного Правилами Фонда, в течение отчетного года  формируется на каждую дату определения СЧА, предусмотренную Правилами СЧА. </w:t>
      </w:r>
    </w:p>
    <w:p w14:paraId="7C7F9C85" w14:textId="77777777"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Величина резерва на выплату вознаграждений в Фонде начисляется нарастающим итогом:</w:t>
      </w:r>
    </w:p>
    <w:p w14:paraId="46A4A2B0" w14:textId="312627B0"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каждую дату расчета СЧА в соответствии с настоящими Правилами в течение календарного года;</w:t>
      </w:r>
    </w:p>
    <w:p w14:paraId="350203E5" w14:textId="25CDF5E6"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дату возникновения основания для прекращения Фонда в части резерва на выплату вознаграждения Управляющей компании.</w:t>
      </w:r>
    </w:p>
    <w:p w14:paraId="3D2B249A" w14:textId="6F6F9441"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Расчетная величина резерва на выплату вознаграждения управляющей компании определяется в следующем порядке: путем его ежемесячного увеличения на сумму, равную одной двенадцатой от максимального размера вознаграждения, установленного в п. 115 Правил доверительного управления фондом.</w:t>
      </w:r>
    </w:p>
    <w:p w14:paraId="3B27F5B9" w14:textId="4717C555"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определяется в порядке, установленном п. 115 Правил Фонда.</w:t>
      </w:r>
    </w:p>
    <w:p w14:paraId="475C73A5" w14:textId="1498DB0A" w:rsidR="005A76F5"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В случае изменения фиксированного размера вознаграждения резерв в таком месяце определяется пропорционально исходя из кол-ва календарных дней месяца действия каждого размера вознаграждения.</w:t>
      </w:r>
    </w:p>
    <w:p w14:paraId="62A35FB4" w14:textId="7388166C"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прочих вознаграждений, определяется исходя из среднегодовой СЧА (далее – СГСЧА), рассчитыва</w:t>
      </w:r>
      <w:r w:rsidR="00561762" w:rsidRPr="00A12F11">
        <w:rPr>
          <w:rFonts w:ascii="Times New Roman" w:eastAsia="Times New Roman" w:hAnsi="Times New Roman" w:cs="Times New Roman"/>
          <w:sz w:val="24"/>
          <w:szCs w:val="24"/>
          <w:lang w:eastAsia="ru-RU"/>
        </w:rPr>
        <w:t>е</w:t>
      </w:r>
      <w:r w:rsidRPr="00A12F11">
        <w:rPr>
          <w:rFonts w:ascii="Times New Roman" w:eastAsia="Times New Roman" w:hAnsi="Times New Roman" w:cs="Times New Roman"/>
          <w:sz w:val="24"/>
          <w:szCs w:val="24"/>
          <w:lang w:eastAsia="ru-RU"/>
        </w:rPr>
        <w:t>тся в следующем порядке:</w:t>
      </w:r>
    </w:p>
    <w:p w14:paraId="7716ADB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80" w:dyaOrig="999" w14:anchorId="62306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9.5pt" o:ole="">
            <v:imagedata r:id="rId11" o:title=""/>
          </v:shape>
          <o:OLEObject Type="Embed" ProgID="Equation.3" ShapeID="_x0000_i1025" DrawAspect="Content" ObjectID="_1687866601" r:id="rId12"/>
        </w:object>
      </w:r>
    </w:p>
    <w:p w14:paraId="46D13022" w14:textId="77777777" w:rsidR="00545CE5" w:rsidRPr="00A12F11" w:rsidRDefault="00545CE5" w:rsidP="00A12F11">
      <w:pPr>
        <w:tabs>
          <w:tab w:val="left" w:pos="426"/>
        </w:tabs>
        <w:spacing w:before="240" w:line="360" w:lineRule="auto"/>
        <w:ind w:left="426" w:hanging="426"/>
        <w:jc w:val="both"/>
        <w:rPr>
          <w:rFonts w:ascii="Times New Roman" w:hAnsi="Times New Roman" w:cs="Times New Roman"/>
          <w:sz w:val="24"/>
          <w:szCs w:val="24"/>
        </w:rPr>
      </w:pPr>
    </w:p>
    <w:p w14:paraId="049F800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где:</w:t>
      </w:r>
    </w:p>
    <w:p w14:paraId="7600825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C95E52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79" w:dyaOrig="360" w14:anchorId="4F9A447C">
          <v:shape id="_x0000_i1026" type="#_x0000_t75" style="width:14.25pt;height:18pt" o:ole="">
            <v:imagedata r:id="rId13" o:title=""/>
          </v:shape>
          <o:OLEObject Type="Embed" ProgID="Equation.3" ShapeID="_x0000_i1026" DrawAspect="Content" ObjectID="_1687866602" r:id="rId14"/>
        </w:object>
      </w:r>
      <w:r w:rsidRPr="00A12F11">
        <w:rPr>
          <w:rFonts w:ascii="Times New Roman" w:hAnsi="Times New Roman" w:cs="Times New Roman"/>
          <w:sz w:val="24"/>
          <w:szCs w:val="24"/>
        </w:rPr>
        <w:t xml:space="preserve">- сумма каждого произведенного в текущем календарном году начисления резерва; </w:t>
      </w:r>
    </w:p>
    <w:p w14:paraId="6D83F76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600" w:dyaOrig="680" w14:anchorId="6C422787">
          <v:shape id="_x0000_i1027" type="#_x0000_t75" style="width:30pt;height:33pt" o:ole="">
            <v:imagedata r:id="rId15" o:title=""/>
          </v:shape>
          <o:OLEObject Type="Embed" ProgID="Equation.3" ShapeID="_x0000_i1027" DrawAspect="Content" ObjectID="_1687866603" r:id="rId16"/>
        </w:object>
      </w:r>
      <w:r w:rsidRPr="00A12F11">
        <w:rPr>
          <w:rFonts w:ascii="Times New Roman" w:hAnsi="Times New Roman" w:cs="Times New Roman"/>
          <w:sz w:val="24"/>
          <w:szCs w:val="24"/>
        </w:rPr>
        <w:t>- суммарная величина резервов, начисленных с начала календарного года по предыдущую дату их начисления (i-1) включительно</w:t>
      </w:r>
    </w:p>
    <w:p w14:paraId="7AB82BF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40F3681E">
          <v:shape id="_x0000_i1028" type="#_x0000_t75" style="width:12.75pt;height:18pt" o:ole="">
            <v:imagedata r:id="rId17" o:title=""/>
          </v:shape>
          <o:OLEObject Type="Embed" ProgID="Equation.3" ShapeID="_x0000_i1028" DrawAspect="Content" ObjectID="_1687866604" r:id="rId18"/>
        </w:object>
      </w:r>
      <w:r w:rsidRPr="00A12F11">
        <w:rPr>
          <w:rFonts w:ascii="Times New Roman" w:hAnsi="Times New Roman" w:cs="Times New Roman"/>
          <w:sz w:val="24"/>
          <w:szCs w:val="24"/>
        </w:rPr>
        <w:t>- сумма очередного (текущего) начисления резерва в текущем календарном году;</w:t>
      </w:r>
    </w:p>
    <w:p w14:paraId="067CCB5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260" w14:anchorId="54EE2D53">
          <v:shape id="_x0000_i1029" type="#_x0000_t75" style="width:12.75pt;height:12.75pt" o:ole="">
            <v:imagedata r:id="rId19" o:title=""/>
          </v:shape>
          <o:OLEObject Type="Embed" ProgID="Equation.3" ShapeID="_x0000_i1029" DrawAspect="Content" ObjectID="_1687866605" r:id="rId20"/>
        </w:object>
      </w:r>
      <w:r w:rsidRPr="00A12F11">
        <w:rPr>
          <w:rFonts w:ascii="Times New Roman" w:hAnsi="Times New Roman" w:cs="Times New Roman"/>
          <w:sz w:val="24"/>
          <w:szCs w:val="24"/>
        </w:rPr>
        <w:t xml:space="preserve"> - количество рабочих дней в текущем календарном году;</w:t>
      </w:r>
    </w:p>
    <w:p w14:paraId="7C91FCF4"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xml:space="preserve">t – порядковый номер рабочего дня, принимающий значения от 1 до d. t=d – порядковый номер рабочего дня начисления резерва </w:t>
      </w:r>
      <w:r w:rsidRPr="00A12F11">
        <w:rPr>
          <w:rFonts w:ascii="Times New Roman" w:hAnsi="Times New Roman" w:cs="Times New Roman"/>
          <w:sz w:val="24"/>
          <w:szCs w:val="24"/>
        </w:rPr>
        <w:object w:dxaOrig="260" w:dyaOrig="360" w14:anchorId="504DAE9B">
          <v:shape id="_x0000_i1030" type="#_x0000_t75" style="width:12.75pt;height:18pt" o:ole="">
            <v:imagedata r:id="rId17" o:title=""/>
          </v:shape>
          <o:OLEObject Type="Embed" ProgID="Equation.3" ShapeID="_x0000_i1030" DrawAspect="Content" ObjectID="_1687866606" r:id="rId21"/>
        </w:object>
      </w:r>
      <w:r w:rsidRPr="00A12F11">
        <w:rPr>
          <w:rFonts w:ascii="Times New Roman" w:hAnsi="Times New Roman" w:cs="Times New Roman"/>
          <w:sz w:val="24"/>
          <w:szCs w:val="24"/>
        </w:rPr>
        <w:t>;</w:t>
      </w:r>
    </w:p>
    <w:p w14:paraId="07A224DD"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d- порядковый номер рабочего дня текущего начисления резерва;</w:t>
      </w:r>
    </w:p>
    <w:p w14:paraId="726CEE7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580" w:dyaOrig="360" w14:anchorId="4F3047E6">
          <v:shape id="_x0000_i1031" type="#_x0000_t75" style="width:29.25pt;height:18pt" o:ole="">
            <v:imagedata r:id="rId22" o:title=""/>
          </v:shape>
          <o:OLEObject Type="Embed" ProgID="Equation.3" ShapeID="_x0000_i1031" DrawAspect="Content" ObjectID="_1687866607" r:id="rId23"/>
        </w:object>
      </w:r>
      <w:r w:rsidRPr="00A12F11">
        <w:rPr>
          <w:rFonts w:ascii="Times New Roman" w:hAnsi="Times New Roman" w:cs="Times New Roman"/>
          <w:sz w:val="24"/>
          <w:szCs w:val="24"/>
        </w:rPr>
        <w:t>- стоимость чистых активов по состоянию на конец каждого рабочего дня t, включая текущий рабочий день начисления резерва d. Если на рабочий день t  СЧА не определено, оно принимается равным СЧА за предшествующий дню t рабочий день текущего календарного года. Значение определяется с точностью до 2 знаков после запятой;</w:t>
      </w:r>
    </w:p>
    <w:p w14:paraId="5804AC8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0A43295C">
          <v:shape id="_x0000_i1032" type="#_x0000_t75" style="width:42.75pt;height:33pt" o:ole="">
            <v:imagedata r:id="rId24" o:title=""/>
          </v:shape>
          <o:OLEObject Type="Embed" ProgID="Equation.3" ShapeID="_x0000_i1032" DrawAspect="Content" ObjectID="_1687866608" r:id="rId2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включая СЧАt за текущий рабочий день начисления резерва;</w:t>
      </w:r>
    </w:p>
    <w:p w14:paraId="465AE57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rn - процентная ставка, соответствующая:</w:t>
      </w:r>
    </w:p>
    <w:p w14:paraId="282127A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на вознаграждение управляющей компании - размеру вознаграждения управляющей компании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80" w14:anchorId="4D9669FD">
          <v:shape id="_x0000_i1033" type="#_x0000_t75" style="width:18pt;height:18pt" o:ole="">
            <v:imagedata r:id="rId26" o:title=""/>
          </v:shape>
          <o:OLEObject Type="Embed" ProgID="Equation.3" ShapeID="_x0000_i1033" DrawAspect="Content" ObjectID="_1687866609" r:id="rId27"/>
        </w:object>
      </w:r>
      <w:r w:rsidRPr="00A12F11">
        <w:rPr>
          <w:rFonts w:ascii="Times New Roman" w:hAnsi="Times New Roman" w:cs="Times New Roman"/>
          <w:sz w:val="24"/>
          <w:szCs w:val="24"/>
        </w:rPr>
        <w:t xml:space="preserve">). </w:t>
      </w:r>
    </w:p>
    <w:p w14:paraId="1AFBC27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прочих вознаграждений – совокупному размеру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60" w14:anchorId="1E6CF843">
          <v:shape id="_x0000_i1034" type="#_x0000_t75" style="width:18pt;height:18pt" o:ole="">
            <v:imagedata r:id="rId28" o:title=""/>
          </v:shape>
          <o:OLEObject Type="Embed" ProgID="Equation.3" ShapeID="_x0000_i1034" DrawAspect="Content" ObjectID="_1687866610" r:id="rId29"/>
        </w:object>
      </w:r>
      <w:r w:rsidRPr="00A12F11">
        <w:rPr>
          <w:rFonts w:ascii="Times New Roman" w:hAnsi="Times New Roman" w:cs="Times New Roman"/>
          <w:sz w:val="24"/>
          <w:szCs w:val="24"/>
        </w:rPr>
        <w:t>).</w:t>
      </w:r>
    </w:p>
    <w:p w14:paraId="4760D016"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980" w:dyaOrig="960" w14:anchorId="557CE4A7">
          <v:shape id="_x0000_i1035" type="#_x0000_t75" style="width:48pt;height:48pt" o:ole="">
            <v:imagedata r:id="rId30" o:title=""/>
          </v:shape>
          <o:OLEObject Type="Embed" ProgID="Equation.3" ShapeID="_x0000_i1035" DrawAspect="Content" ObjectID="_1687866611" r:id="rId31"/>
        </w:object>
      </w:r>
      <w:r w:rsidRPr="00A12F11">
        <w:rPr>
          <w:rFonts w:ascii="Times New Roman" w:hAnsi="Times New Roman" w:cs="Times New Roman"/>
          <w:sz w:val="24"/>
          <w:szCs w:val="24"/>
        </w:rPr>
        <w:t>- средневзвешенное значение процентных ставок rn в случае их изменения в течение календарного года начисления резерва;</w:t>
      </w:r>
    </w:p>
    <w:p w14:paraId="681BA8F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335CAAFE">
          <v:shape id="_x0000_i1036" type="#_x0000_t75" style="width:12.75pt;height:18pt" o:ole="">
            <v:imagedata r:id="rId32" o:title=""/>
          </v:shape>
          <o:OLEObject Type="Embed" ProgID="Equation.3" ShapeID="_x0000_i1036" DrawAspect="Content" ObjectID="_1687866612" r:id="rId33"/>
        </w:object>
      </w:r>
      <w:r w:rsidRPr="00A12F11">
        <w:rPr>
          <w:rFonts w:ascii="Times New Roman" w:hAnsi="Times New Roman" w:cs="Times New Roman"/>
          <w:sz w:val="24"/>
          <w:szCs w:val="24"/>
        </w:rPr>
        <w:t>- количество рабочих дней действия ставки rn к моменту текущего начисления резерва, включая текущий день начисления резерва;</w:t>
      </w:r>
    </w:p>
    <w:p w14:paraId="082D144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20" w:dyaOrig="260" w14:anchorId="0518A154">
          <v:shape id="_x0000_i1037" type="#_x0000_t75" style="width:10.5pt;height:12pt" o:ole="">
            <v:imagedata r:id="rId34" o:title=""/>
          </v:shape>
          <o:OLEObject Type="Embed" ProgID="Equation.3" ShapeID="_x0000_i1037" DrawAspect="Content" ObjectID="_1687866613" r:id="rId35"/>
        </w:object>
      </w:r>
      <w:r w:rsidRPr="00A12F11">
        <w:rPr>
          <w:rFonts w:ascii="Times New Roman" w:hAnsi="Times New Roman" w:cs="Times New Roman"/>
          <w:sz w:val="24"/>
          <w:szCs w:val="24"/>
        </w:rPr>
        <w:t>- суммарное количество рабочих дней с начала календарного года к моменту текущего начисления резерва, включая текущий день начисления резерва;</w:t>
      </w:r>
    </w:p>
    <w:p w14:paraId="44706CE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количество ставок rn, применявшихся в течение календарного года по дату текущего расчета резерва включительно;</w:t>
      </w:r>
    </w:p>
    <w:p w14:paraId="280F4DE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порядковый номер ставки rn в текущем календарном году по дату текущего расчета резерва включительно. Сумма значений стоимостей чистых активов за текущий календарный год расчета резерва, включая СЧАt за текущий рабочий день начисления резерва, определяется следующим образом:</w:t>
      </w:r>
    </w:p>
    <w:p w14:paraId="6E2BC11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4800" w:dyaOrig="1880" w14:anchorId="1CF1B8D5">
          <v:shape id="_x0000_i1038" type="#_x0000_t75" style="width:240pt;height:94.5pt" o:ole="">
            <v:imagedata r:id="rId36" o:title=""/>
          </v:shape>
          <o:OLEObject Type="Embed" ProgID="Equation.3" ShapeID="_x0000_i1038" DrawAspect="Content" ObjectID="_1687866614" r:id="rId37"/>
        </w:object>
      </w:r>
      <w:r w:rsidRPr="00A12F11">
        <w:rPr>
          <w:rFonts w:ascii="Times New Roman" w:hAnsi="Times New Roman" w:cs="Times New Roman"/>
          <w:sz w:val="24"/>
          <w:szCs w:val="24"/>
        </w:rPr>
        <w:t>, где</w:t>
      </w:r>
    </w:p>
    <w:p w14:paraId="1F9CC34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0" w:dyaOrig="360" w14:anchorId="004C8864">
          <v:shape id="_x0000_i1039" type="#_x0000_t75" style="width:15pt;height:18.75pt" o:ole="">
            <v:imagedata r:id="rId38" o:title=""/>
          </v:shape>
          <o:OLEObject Type="Embed" ProgID="Equation.3" ShapeID="_x0000_i1039" DrawAspect="Content" ObjectID="_1687866615" r:id="rId39"/>
        </w:object>
      </w:r>
      <w:r w:rsidRPr="00A12F11">
        <w:rPr>
          <w:rFonts w:ascii="Times New Roman" w:hAnsi="Times New Roman" w:cs="Times New Roman"/>
          <w:sz w:val="24"/>
          <w:szCs w:val="24"/>
        </w:rPr>
        <w:t>- общая стоимость активов Фонда на день текущего начисления резервов d</w:t>
      </w:r>
    </w:p>
    <w:p w14:paraId="5BFCBFA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60" w:dyaOrig="360" w14:anchorId="131922F9">
          <v:shape id="_x0000_i1040" type="#_x0000_t75" style="width:18.75pt;height:18.75pt" o:ole="">
            <v:imagedata r:id="rId40" o:title=""/>
          </v:shape>
          <o:OLEObject Type="Embed" ProgID="Equation.3" ShapeID="_x0000_i1040" DrawAspect="Content" ObjectID="_1687866616" r:id="rId41"/>
        </w:object>
      </w:r>
      <w:r w:rsidRPr="00A12F11">
        <w:rPr>
          <w:rFonts w:ascii="Times New Roman" w:hAnsi="Times New Roman" w:cs="Times New Roman"/>
          <w:sz w:val="24"/>
          <w:szCs w:val="24"/>
        </w:rPr>
        <w:t>- стоимость обязательств Фонда на день текущего начисления резервов d до начисления резерва за текущий рабочий день</w:t>
      </w:r>
    </w:p>
    <w:p w14:paraId="0A5063D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1520" w:dyaOrig="360" w14:anchorId="465F583D">
          <v:shape id="_x0000_i1041" type="#_x0000_t75" style="width:76.5pt;height:18.75pt" o:ole="">
            <v:imagedata r:id="rId42" o:title=""/>
          </v:shape>
          <o:OLEObject Type="Embed" ProgID="Equation.3" ShapeID="_x0000_i1041" DrawAspect="Content" ObjectID="_1687866617" r:id="rId43"/>
        </w:object>
      </w:r>
      <w:r w:rsidRPr="00A12F11">
        <w:rPr>
          <w:rFonts w:ascii="Times New Roman" w:hAnsi="Times New Roman" w:cs="Times New Roman"/>
          <w:sz w:val="24"/>
          <w:szCs w:val="24"/>
        </w:rPr>
        <w:t>- суммарная величина резервов на выплату вознаграждения Управляющей компании и иным лицам, начисленная с начала календарного года по дату их предыдущего начисления включительно.</w:t>
      </w:r>
    </w:p>
    <w:p w14:paraId="491345F0"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52C903B1">
          <v:shape id="_x0000_i1042" type="#_x0000_t75" style="width:42.75pt;height:33pt" o:ole="">
            <v:imagedata r:id="rId44" o:title=""/>
          </v:shape>
          <o:OLEObject Type="Embed" ProgID="Equation.3" ShapeID="_x0000_i1042" DrawAspect="Content" ObjectID="_1687866618" r:id="rId4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за каждый рабочий день с начала календарного года по рабочий день, предшествующий дню текущего начисления резерва включительно.</w:t>
      </w:r>
    </w:p>
    <w:p w14:paraId="4F084482" w14:textId="77777777" w:rsidR="00545CE5" w:rsidRPr="00A12F11" w:rsidRDefault="00545CE5" w:rsidP="00A12F11">
      <w:pPr>
        <w:spacing w:before="240" w:line="360" w:lineRule="auto"/>
        <w:ind w:left="1" w:firstLine="1"/>
        <w:jc w:val="both"/>
        <w:rPr>
          <w:rFonts w:ascii="Times New Roman" w:hAnsi="Times New Roman" w:cs="Times New Roman"/>
          <w:sz w:val="24"/>
          <w:szCs w:val="24"/>
        </w:rPr>
      </w:pPr>
      <w:r w:rsidRPr="00A12F11">
        <w:rPr>
          <w:rFonts w:ascii="Times New Roman" w:hAnsi="Times New Roman" w:cs="Times New Roman"/>
          <w:sz w:val="24"/>
          <w:szCs w:val="24"/>
        </w:rPr>
        <w:t xml:space="preserve">          Расчетная величина резерва на выплату вознаграждения округляется с точностью до 2 знаков после запятой.</w:t>
      </w:r>
    </w:p>
    <w:p w14:paraId="42E940D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Размер сформированного резерва на выплату вознаграждения уменьшается на суммы начисленного в течение отчетного</w:t>
      </w:r>
      <w:r w:rsidRPr="00A12F11">
        <w:rPr>
          <w:rFonts w:ascii="Times New Roman" w:eastAsia="Times New Roman" w:hAnsi="Times New Roman" w:cs="Times New Roman"/>
          <w:sz w:val="24"/>
          <w:szCs w:val="24"/>
          <w:lang w:eastAsia="ru-RU"/>
        </w:rPr>
        <w:t xml:space="preserve">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14:paraId="096953D2"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28C15F5B" w14:textId="3A03242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сумма резерва на выплату вознаграждения меньше суммы задолженности на выплату вознаграждения, подлежащей к начислению, в состав активов (обязательств) при определении стоимости чистых активов принимается размер задолженности, не</w:t>
      </w:r>
      <w:r w:rsidR="003844C3" w:rsidRPr="00A12F11">
        <w:rPr>
          <w:rFonts w:ascii="Times New Roman" w:eastAsia="Times New Roman" w:hAnsi="Times New Roman" w:cs="Times New Roman"/>
          <w:sz w:val="24"/>
          <w:szCs w:val="24"/>
          <w:lang w:eastAsia="ru-RU"/>
        </w:rPr>
        <w:t xml:space="preserve"> превышающий</w:t>
      </w:r>
      <w:r w:rsidRPr="00A12F11">
        <w:rPr>
          <w:rFonts w:ascii="Times New Roman" w:eastAsia="Times New Roman" w:hAnsi="Times New Roman" w:cs="Times New Roman"/>
          <w:sz w:val="24"/>
          <w:szCs w:val="24"/>
          <w:lang w:eastAsia="ru-RU"/>
        </w:rPr>
        <w:t xml:space="preserve"> сумму резерва на выплату вознаграждения.</w:t>
      </w:r>
    </w:p>
    <w:p w14:paraId="1D73E52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При следующем формировании резерва на выплату вознаграждения размер задолженности на выплату вознаграждения подлежит корректировке, в размере, не превышающем сумму резерва на выплату вознаграждения.</w:t>
      </w:r>
    </w:p>
    <w:p w14:paraId="022ABA6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Если сумма начисленного в течение отчетного года вознаграждения превышает размеры вознаграждения, указанного в Правилах Фонда, начисляется задолженность Управляющей компании на возмещение Фонду излишне начисленного (выплаченного) вознаграждения.</w:t>
      </w:r>
    </w:p>
    <w:p w14:paraId="3C3D9B7E"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Если сумма начисленного в течение отчетного года вознаграждения меньше размера вознаграждения, указанного в Правилах Фонда, начисляется задолженность по выплате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паев Фонда.</w:t>
      </w:r>
    </w:p>
    <w:p w14:paraId="228312B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Начисление задолженности Управляющей компании на возмещение Фонду излишне начисленного (выплаченного) вознаграждения в сумме превышения размеров вознаграждения, указанного в Правилах Фонда, осуществляется в первый рабочий день года, следующего за отчетным.</w:t>
      </w:r>
    </w:p>
    <w:p w14:paraId="66A8F00E" w14:textId="1F1A6EAA" w:rsidR="003F0D7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Выплата Управляющей компанией возмещения Фонду излишне начисленного (выплаченного) вознаграждения осуществляется за счет собственных средств Управляющей компании.</w:t>
      </w:r>
    </w:p>
    <w:p w14:paraId="1077B50F" w14:textId="77777777" w:rsidR="003F0D73" w:rsidRPr="00A12F11" w:rsidRDefault="003F0D73" w:rsidP="00A12F11">
      <w:pPr>
        <w:spacing w:before="240" w:line="360" w:lineRule="auto"/>
        <w:ind w:left="426" w:hanging="426"/>
        <w:jc w:val="both"/>
        <w:rPr>
          <w:rFonts w:ascii="Times New Roman" w:eastAsia="Times New Roman" w:hAnsi="Times New Roman" w:cs="Times New Roman"/>
          <w:sz w:val="24"/>
          <w:szCs w:val="24"/>
          <w:lang w:eastAsia="ru-RU"/>
        </w:rPr>
      </w:pPr>
    </w:p>
    <w:p w14:paraId="32D7EFA2" w14:textId="77777777" w:rsidR="005852E9" w:rsidRPr="00A12F11" w:rsidRDefault="005852E9" w:rsidP="00A12F11">
      <w:pPr>
        <w:pStyle w:val="ac"/>
        <w:numPr>
          <w:ilvl w:val="0"/>
          <w:numId w:val="3"/>
        </w:numPr>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ПОРЯДОК ОПРЕДЕЛЕНИЯ СТОИМОСТИ ИМУЩЕСТВА, ПЕРЕДАННОГО В ОПЛАТУ ИНВЕСТИЦИОННЫХ ПАЕВ</w:t>
      </w:r>
    </w:p>
    <w:p w14:paraId="2110EB00" w14:textId="77777777" w:rsidR="005852E9" w:rsidRPr="00A12F11" w:rsidRDefault="005852E9" w:rsidP="00A12F11">
      <w:pPr>
        <w:pStyle w:val="ac"/>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p>
    <w:p w14:paraId="21142DFA"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w:t>
      </w:r>
    </w:p>
    <w:p w14:paraId="1E349488"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14:paraId="6232EE89"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месяцев до даты передачи такого имущества в оплату инвестиционных паев и не позднее даты передачи такого имущества в оплату инвестиционных паёв.</w:t>
      </w:r>
    </w:p>
    <w:p w14:paraId="0E08929E" w14:textId="2E9B8F29" w:rsidR="005852E9" w:rsidRPr="00A12F11" w:rsidRDefault="005852E9"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14:paraId="79ED6ED8" w14:textId="17D1F2F2" w:rsidR="009931FC" w:rsidRPr="00A12F11" w:rsidRDefault="009931FC" w:rsidP="00A12F11">
      <w:pPr>
        <w:pStyle w:val="11"/>
        <w:numPr>
          <w:ilvl w:val="0"/>
          <w:numId w:val="3"/>
        </w:numPr>
        <w:spacing w:before="240" w:after="160" w:line="360" w:lineRule="auto"/>
        <w:jc w:val="both"/>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rPr>
        <w:t>П</w:t>
      </w:r>
      <w:r w:rsidRPr="00A12F11">
        <w:rPr>
          <w:rFonts w:ascii="Times New Roman" w:hAnsi="Times New Roman" w:cs="Times New Roman"/>
          <w:b/>
          <w:caps/>
          <w:color w:val="000000" w:themeColor="text1"/>
          <w:sz w:val="24"/>
          <w:szCs w:val="24"/>
        </w:rPr>
        <w:t>орядок урегулирования разногласий между управляющей компанией и специализированным депозитарием при определении СЧА</w:t>
      </w:r>
    </w:p>
    <w:p w14:paraId="24C23E32" w14:textId="1ABC8EB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14:paraId="4AD8C307" w14:textId="2B86E710"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w:t>
      </w:r>
    </w:p>
    <w:p w14:paraId="78BECC97" w14:textId="3445B976"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Факт последующего устранения расхождений подтверждается путем заверения справки о СЧА ПИФ Специализированным депозитарием без оговорок. </w:t>
      </w:r>
    </w:p>
    <w:p w14:paraId="4ABBB005" w14:textId="77777777" w:rsidR="009931FC" w:rsidRPr="00A12F11" w:rsidRDefault="005852E9" w:rsidP="00A12F11">
      <w:pPr>
        <w:pStyle w:val="11"/>
        <w:spacing w:before="240" w:after="160" w:line="360" w:lineRule="auto"/>
        <w:ind w:left="426" w:hanging="426"/>
        <w:jc w:val="both"/>
        <w:rPr>
          <w:rFonts w:ascii="Times New Roman" w:hAnsi="Times New Roman" w:cs="Times New Roman"/>
          <w:caps/>
          <w:color w:val="000000" w:themeColor="text1"/>
          <w:sz w:val="24"/>
          <w:szCs w:val="24"/>
        </w:rPr>
      </w:pPr>
      <w:bookmarkStart w:id="1" w:name="_Toc27400757"/>
      <w:r w:rsidRPr="00A12F11">
        <w:rPr>
          <w:rFonts w:ascii="Times New Roman" w:hAnsi="Times New Roman" w:cs="Times New Roman"/>
          <w:b/>
          <w:caps/>
          <w:color w:val="000000" w:themeColor="text1"/>
          <w:sz w:val="24"/>
          <w:szCs w:val="24"/>
        </w:rPr>
        <w:t xml:space="preserve">9. </w:t>
      </w:r>
      <w:r w:rsidR="009931FC" w:rsidRPr="00A12F11">
        <w:rPr>
          <w:rFonts w:ascii="Times New Roman" w:hAnsi="Times New Roman" w:cs="Times New Roman"/>
          <w:b/>
          <w:caps/>
          <w:color w:val="000000" w:themeColor="text1"/>
          <w:sz w:val="24"/>
          <w:szCs w:val="24"/>
        </w:rPr>
        <w:t>Перерасчет СЧА</w:t>
      </w:r>
      <w:bookmarkEnd w:id="1"/>
    </w:p>
    <w:p w14:paraId="1D5C90B3" w14:textId="6D5A76E3" w:rsidR="009931FC" w:rsidRPr="00A12F11" w:rsidRDefault="009931FC"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  Управляющая компания осуществляет возмещение ущерба владельцам инвестиционных паев в соответствии с Правилами ДУ ПИФ и нормативными правовыми актами 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ПИФ.  </w:t>
      </w:r>
    </w:p>
    <w:p w14:paraId="3D9F3A24" w14:textId="77777777" w:rsidR="00A12F11" w:rsidRDefault="009931FC"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в случае отсутствия превышений более 0,1% вносят необходимые исправления в учет ПИФ в текущей дате (дате выявления отклонения). Управляющая компания и Специализированный депозитарий обязаны принять меры для предотвращения повторения выявленной ситуации. </w:t>
      </w:r>
    </w:p>
    <w:p w14:paraId="4C018FF7" w14:textId="03A6D0F2" w:rsidR="0091099D" w:rsidRPr="00A12F11" w:rsidRDefault="0091099D" w:rsidP="00A12F11">
      <w:pPr>
        <w:spacing w:before="240" w:line="360"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 xml:space="preserve">Приложение 1 </w:t>
      </w:r>
    </w:p>
    <w:p w14:paraId="6B161D76" w14:textId="59BEB15B" w:rsidR="0091099D" w:rsidRPr="00A12F11" w:rsidRDefault="002B53BB"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color w:val="000000" w:themeColor="text1"/>
          <w:sz w:val="24"/>
          <w:szCs w:val="24"/>
          <w:lang w:eastAsia="ru-RU"/>
        </w:rPr>
        <w:t>ПЕРЕЧЕНЬ ДОСТУПНЫХ И НАБЛЮДАЕМЫХ БИРЖЕВЫХ ПЛОЩАДОК</w:t>
      </w:r>
    </w:p>
    <w:tbl>
      <w:tblPr>
        <w:tblW w:w="0" w:type="auto"/>
        <w:tblInd w:w="483" w:type="dxa"/>
        <w:tblLook w:val="04A0" w:firstRow="1" w:lastRow="0" w:firstColumn="1" w:lastColumn="0" w:noHBand="0" w:noVBand="1"/>
      </w:tblPr>
      <w:tblGrid>
        <w:gridCol w:w="9406"/>
      </w:tblGrid>
      <w:tr w:rsidR="0091099D" w:rsidRPr="00A12F11" w14:paraId="0E4558AB" w14:textId="77777777" w:rsidTr="00EF37DA">
        <w:tc>
          <w:tcPr>
            <w:tcW w:w="9406" w:type="dxa"/>
          </w:tcPr>
          <w:p w14:paraId="4A753A2B"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ПАО «Московская Биржа»; </w:t>
            </w:r>
          </w:p>
        </w:tc>
      </w:tr>
      <w:tr w:rsidR="0091099D" w:rsidRPr="00A12F11" w14:paraId="37BA9385" w14:textId="77777777" w:rsidTr="00EF37DA">
        <w:tc>
          <w:tcPr>
            <w:tcW w:w="9406" w:type="dxa"/>
          </w:tcPr>
          <w:p w14:paraId="156751D2"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Американская фондовая биржа (American Stock Exchange); </w:t>
            </w:r>
          </w:p>
        </w:tc>
      </w:tr>
      <w:tr w:rsidR="0091099D" w:rsidRPr="00A12F11" w14:paraId="011A3E6C" w14:textId="77777777" w:rsidTr="00EF37DA">
        <w:tc>
          <w:tcPr>
            <w:tcW w:w="9406" w:type="dxa"/>
          </w:tcPr>
          <w:p w14:paraId="0BBA31E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Гонконгская фондовая биржа (Hong Kong Stock Exchange);</w:t>
            </w:r>
          </w:p>
        </w:tc>
      </w:tr>
      <w:tr w:rsidR="0091099D" w:rsidRPr="00B00D0F" w14:paraId="3DA6FEE3" w14:textId="77777777" w:rsidTr="00EF37DA">
        <w:tc>
          <w:tcPr>
            <w:tcW w:w="9406" w:type="dxa"/>
          </w:tcPr>
          <w:p w14:paraId="66D9693C"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Евронекст</w:t>
            </w:r>
            <w:r w:rsidRPr="00A12F11">
              <w:rPr>
                <w:rFonts w:ascii="Times New Roman" w:hAnsi="Times New Roman" w:cs="Times New Roman"/>
                <w:sz w:val="24"/>
                <w:szCs w:val="24"/>
                <w:lang w:val="en-US"/>
              </w:rPr>
              <w:t xml:space="preserve"> (Euronext Amsterdam, Euronext Brussels, Euronext Lisbon, Euronext Paris); </w:t>
            </w:r>
          </w:p>
        </w:tc>
      </w:tr>
      <w:tr w:rsidR="0091099D" w:rsidRPr="00B00D0F" w14:paraId="210A74CA" w14:textId="77777777" w:rsidTr="00EF37DA">
        <w:tc>
          <w:tcPr>
            <w:tcW w:w="9406" w:type="dxa"/>
            <w:vAlign w:val="bottom"/>
          </w:tcPr>
          <w:p w14:paraId="4A8D1278"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Ирландская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(Irish Stock Exchange); </w:t>
            </w:r>
          </w:p>
        </w:tc>
      </w:tr>
      <w:tr w:rsidR="0091099D" w:rsidRPr="00B00D0F" w14:paraId="12A350DE" w14:textId="77777777" w:rsidTr="00EF37DA">
        <w:tc>
          <w:tcPr>
            <w:tcW w:w="9406" w:type="dxa"/>
            <w:vAlign w:val="bottom"/>
          </w:tcPr>
          <w:p w14:paraId="292F322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Испанская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(BME Spanish Exchanges); </w:t>
            </w:r>
          </w:p>
        </w:tc>
      </w:tr>
      <w:tr w:rsidR="0091099D" w:rsidRPr="00A12F11" w14:paraId="34A1A57C" w14:textId="77777777" w:rsidTr="00EF37DA">
        <w:tc>
          <w:tcPr>
            <w:tcW w:w="9406" w:type="dxa"/>
            <w:vAlign w:val="bottom"/>
          </w:tcPr>
          <w:p w14:paraId="1E621A8F"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Итальянская фондовая биржа (Borsa Italiana); </w:t>
            </w:r>
          </w:p>
        </w:tc>
      </w:tr>
      <w:tr w:rsidR="0091099D" w:rsidRPr="00A12F11" w14:paraId="6225761B" w14:textId="77777777" w:rsidTr="00EF37DA">
        <w:tc>
          <w:tcPr>
            <w:tcW w:w="9406" w:type="dxa"/>
            <w:vAlign w:val="bottom"/>
          </w:tcPr>
          <w:p w14:paraId="38564F1A"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Корейская биржа (Korea Exchange); </w:t>
            </w:r>
          </w:p>
        </w:tc>
      </w:tr>
      <w:tr w:rsidR="0091099D" w:rsidRPr="00A12F11" w14:paraId="3419459D" w14:textId="77777777" w:rsidTr="00EF37DA">
        <w:tc>
          <w:tcPr>
            <w:tcW w:w="9406" w:type="dxa"/>
            <w:vAlign w:val="bottom"/>
          </w:tcPr>
          <w:p w14:paraId="5230C598"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Лондонская фондовая биржа (London Stock Exchange); </w:t>
            </w:r>
          </w:p>
        </w:tc>
      </w:tr>
      <w:tr w:rsidR="0091099D" w:rsidRPr="00A12F11" w14:paraId="698CE31D" w14:textId="77777777" w:rsidTr="00EF37DA">
        <w:tc>
          <w:tcPr>
            <w:tcW w:w="9406" w:type="dxa"/>
            <w:vAlign w:val="center"/>
          </w:tcPr>
          <w:p w14:paraId="4890795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Люксембургская фондовая биржа (Luxembourg Stock Exchange); </w:t>
            </w:r>
          </w:p>
        </w:tc>
      </w:tr>
      <w:tr w:rsidR="0091099D" w:rsidRPr="00A12F11" w14:paraId="3F65C941" w14:textId="77777777" w:rsidTr="00EF37DA">
        <w:tc>
          <w:tcPr>
            <w:tcW w:w="9406" w:type="dxa"/>
            <w:vAlign w:val="center"/>
          </w:tcPr>
          <w:p w14:paraId="5CF1B2D0"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Насдак (Nasdaq); </w:t>
            </w:r>
          </w:p>
        </w:tc>
      </w:tr>
      <w:tr w:rsidR="0091099D" w:rsidRPr="00A12F11" w14:paraId="2CE80406" w14:textId="77777777" w:rsidTr="00EF37DA">
        <w:tc>
          <w:tcPr>
            <w:tcW w:w="9406" w:type="dxa"/>
            <w:vAlign w:val="bottom"/>
          </w:tcPr>
          <w:p w14:paraId="3EE68779"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Немецкая фондовая биржа (Deutsche Borse); </w:t>
            </w:r>
          </w:p>
        </w:tc>
      </w:tr>
      <w:tr w:rsidR="0091099D" w:rsidRPr="00B00D0F" w14:paraId="030D3118" w14:textId="77777777" w:rsidTr="00EF37DA">
        <w:tc>
          <w:tcPr>
            <w:tcW w:w="9406" w:type="dxa"/>
            <w:vAlign w:val="bottom"/>
          </w:tcPr>
          <w:p w14:paraId="5BEF3691"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Нью</w:t>
            </w:r>
            <w:r w:rsidRPr="00A12F11">
              <w:rPr>
                <w:rFonts w:ascii="Times New Roman" w:hAnsi="Times New Roman" w:cs="Times New Roman"/>
                <w:sz w:val="24"/>
                <w:szCs w:val="24"/>
                <w:lang w:val="en-US"/>
              </w:rPr>
              <w:t>-</w:t>
            </w:r>
            <w:r w:rsidRPr="00A12F11">
              <w:rPr>
                <w:rFonts w:ascii="Times New Roman" w:hAnsi="Times New Roman" w:cs="Times New Roman"/>
                <w:sz w:val="24"/>
                <w:szCs w:val="24"/>
              </w:rPr>
              <w:t>Йоркская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(New York Stock Exchange); </w:t>
            </w:r>
          </w:p>
        </w:tc>
      </w:tr>
      <w:tr w:rsidR="0091099D" w:rsidRPr="00B00D0F" w14:paraId="0EBECE99" w14:textId="77777777" w:rsidTr="00EF37DA">
        <w:tc>
          <w:tcPr>
            <w:tcW w:w="9406" w:type="dxa"/>
            <w:vAlign w:val="bottom"/>
          </w:tcPr>
          <w:p w14:paraId="2C212615"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Токийская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(Tokyo Stock Exchange Group); </w:t>
            </w:r>
          </w:p>
        </w:tc>
      </w:tr>
      <w:tr w:rsidR="0091099D" w:rsidRPr="00B00D0F" w14:paraId="657024BF" w14:textId="77777777" w:rsidTr="00EF37DA">
        <w:tc>
          <w:tcPr>
            <w:tcW w:w="9406" w:type="dxa"/>
            <w:vAlign w:val="bottom"/>
          </w:tcPr>
          <w:p w14:paraId="49087B5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Торонто</w:t>
            </w:r>
            <w:r w:rsidRPr="00A12F11">
              <w:rPr>
                <w:rFonts w:ascii="Times New Roman" w:hAnsi="Times New Roman" w:cs="Times New Roman"/>
                <w:sz w:val="24"/>
                <w:szCs w:val="24"/>
                <w:lang w:val="en-US"/>
              </w:rPr>
              <w:t xml:space="preserve"> (Toronto Stock Exchange, TSX Group); </w:t>
            </w:r>
          </w:p>
        </w:tc>
      </w:tr>
      <w:tr w:rsidR="0091099D" w:rsidRPr="00A12F11" w14:paraId="71B62273" w14:textId="77777777" w:rsidTr="00EF37DA">
        <w:tc>
          <w:tcPr>
            <w:tcW w:w="9406" w:type="dxa"/>
            <w:vAlign w:val="bottom"/>
          </w:tcPr>
          <w:p w14:paraId="1A3EAE6C"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Фондовая биржа Швейцарии (Swiss Exchange); </w:t>
            </w:r>
          </w:p>
        </w:tc>
      </w:tr>
      <w:tr w:rsidR="0091099D" w:rsidRPr="00A12F11" w14:paraId="0B981790" w14:textId="77777777" w:rsidTr="00EF37DA">
        <w:tc>
          <w:tcPr>
            <w:tcW w:w="9406" w:type="dxa"/>
            <w:vAlign w:val="bottom"/>
          </w:tcPr>
          <w:p w14:paraId="73547EF9" w14:textId="4FECC8DB" w:rsidR="003844C3"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Шанхайская фондовая биржа (Shanghai Stock Exchange).</w:t>
            </w:r>
          </w:p>
        </w:tc>
      </w:tr>
    </w:tbl>
    <w:p w14:paraId="4F3915B9" w14:textId="6EC28C0E" w:rsidR="0091099D" w:rsidRPr="00A12F11" w:rsidRDefault="0091099D" w:rsidP="00A12F11">
      <w:pPr>
        <w:spacing w:before="240" w:line="276" w:lineRule="auto"/>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Приложение 2</w:t>
      </w:r>
    </w:p>
    <w:p w14:paraId="6B0B1666" w14:textId="236748C2"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C033FF5" w14:textId="77777777" w:rsidR="0091099D" w:rsidRPr="00A12F11" w:rsidRDefault="0091099D" w:rsidP="00A12F11">
      <w:pPr>
        <w:autoSpaceDN w:val="0"/>
        <w:adjustRightInd w:val="0"/>
        <w:spacing w:before="240" w:line="276" w:lineRule="auto"/>
        <w:ind w:left="426" w:hanging="426"/>
        <w:jc w:val="center"/>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ПЕРЕЧЕНЬ АКТИВОВ, ПОДЛЕЖАЩИХ ОЦЕНКЕ ОЦЕНЩИКОМ</w:t>
      </w:r>
    </w:p>
    <w:p w14:paraId="03B98D79" w14:textId="77777777" w:rsidR="0091099D" w:rsidRPr="00A12F11" w:rsidRDefault="0091099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основании отчета оценщика оцениваются следующие активы:</w:t>
      </w:r>
    </w:p>
    <w:tbl>
      <w:tblPr>
        <w:tblStyle w:val="af3"/>
        <w:tblW w:w="5000" w:type="pct"/>
        <w:tblLook w:val="04A0" w:firstRow="1" w:lastRow="0" w:firstColumn="1" w:lastColumn="0" w:noHBand="0" w:noVBand="1"/>
      </w:tblPr>
      <w:tblGrid>
        <w:gridCol w:w="9913"/>
      </w:tblGrid>
      <w:tr w:rsidR="0091099D" w:rsidRPr="00A12F11" w14:paraId="25307014" w14:textId="77777777" w:rsidTr="00EF37DA">
        <w:trPr>
          <w:trHeight w:val="242"/>
        </w:trPr>
        <w:tc>
          <w:tcPr>
            <w:tcW w:w="5000" w:type="pct"/>
            <w:shd w:val="clear" w:color="auto" w:fill="A6A6A6" w:themeFill="background1" w:themeFillShade="A6"/>
          </w:tcPr>
          <w:p w14:paraId="00750AEA" w14:textId="77777777" w:rsidR="0091099D" w:rsidRPr="00A12F11" w:rsidRDefault="0091099D" w:rsidP="00A12F11">
            <w:pPr>
              <w:autoSpaceDN w:val="0"/>
              <w:adjustRightInd w:val="0"/>
              <w:spacing w:before="240" w:line="276" w:lineRule="auto"/>
              <w:ind w:left="426" w:hanging="426"/>
              <w:jc w:val="center"/>
              <w:rPr>
                <w:rFonts w:ascii="Times New Roman" w:hAnsi="Times New Roman"/>
                <w:b/>
                <w:color w:val="000000" w:themeColor="text1"/>
                <w:sz w:val="24"/>
                <w:szCs w:val="24"/>
              </w:rPr>
            </w:pPr>
            <w:r w:rsidRPr="00A12F11">
              <w:rPr>
                <w:rFonts w:ascii="Times New Roman" w:hAnsi="Times New Roman"/>
                <w:b/>
                <w:color w:val="000000" w:themeColor="text1"/>
                <w:sz w:val="24"/>
                <w:szCs w:val="24"/>
              </w:rPr>
              <w:t>Описание</w:t>
            </w:r>
          </w:p>
        </w:tc>
      </w:tr>
      <w:tr w:rsidR="0091099D" w:rsidRPr="00A12F11" w14:paraId="4A378DBD" w14:textId="77777777" w:rsidTr="00EF37DA">
        <w:tc>
          <w:tcPr>
            <w:tcW w:w="5000" w:type="pct"/>
            <w:vAlign w:val="center"/>
          </w:tcPr>
          <w:p w14:paraId="4E48642A"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91099D" w:rsidRPr="00A12F11" w14:paraId="6CA717B1" w14:textId="77777777" w:rsidTr="00EF37DA">
        <w:trPr>
          <w:trHeight w:val="315"/>
        </w:trPr>
        <w:tc>
          <w:tcPr>
            <w:tcW w:w="5000" w:type="pct"/>
            <w:vAlign w:val="center"/>
          </w:tcPr>
          <w:p w14:paraId="6500D98E"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Недвижимое имущество</w:t>
            </w:r>
          </w:p>
        </w:tc>
      </w:tr>
      <w:tr w:rsidR="0091099D" w:rsidRPr="00A12F11" w14:paraId="070B9352" w14:textId="77777777" w:rsidTr="00EF37DA">
        <w:tc>
          <w:tcPr>
            <w:tcW w:w="5000" w:type="pct"/>
            <w:vAlign w:val="center"/>
          </w:tcPr>
          <w:p w14:paraId="464959EC"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Права аренды недвижимого имущества (операционная аренда)</w:t>
            </w:r>
          </w:p>
        </w:tc>
      </w:tr>
      <w:tr w:rsidR="0091099D" w:rsidRPr="00A12F11" w14:paraId="2FD5C081" w14:textId="77777777" w:rsidTr="00EF37DA">
        <w:tc>
          <w:tcPr>
            <w:tcW w:w="5000" w:type="pct"/>
          </w:tcPr>
          <w:p w14:paraId="312692AD"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3646DD8B" w14:textId="5611836E" w:rsidR="0091099D" w:rsidRPr="00A12F11" w:rsidRDefault="0091099D" w:rsidP="00A12F11">
      <w:pPr>
        <w:spacing w:before="240" w:line="276" w:lineRule="auto"/>
        <w:ind w:left="426" w:hanging="426"/>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br w:type="page"/>
      </w:r>
    </w:p>
    <w:p w14:paraId="78EBFABC" w14:textId="4C5EFE23" w:rsidR="00025781" w:rsidRPr="00A12F11" w:rsidRDefault="0002578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Приложение 3</w:t>
      </w:r>
    </w:p>
    <w:p w14:paraId="73485F60" w14:textId="77777777"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84180EB"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b/>
          <w:bCs/>
          <w:iCs/>
          <w:sz w:val="24"/>
          <w:szCs w:val="24"/>
          <w:lang w:eastAsia="ru-RU"/>
        </w:rPr>
        <w:t>МЕТОДЫ ОПРЕДЕЛЕНИЯ СПРАВЕДЛИВОЙ СТОИМОСТИ ЦЕННЫХ БУМАГ</w:t>
      </w:r>
    </w:p>
    <w:p w14:paraId="63FB9FE5" w14:textId="6AD53CB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14:paraId="4731FCF1" w14:textId="38072498"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Активным рынком для ценных </w:t>
      </w:r>
      <w:r w:rsidR="006D15AC" w:rsidRPr="00A12F11">
        <w:rPr>
          <w:rFonts w:ascii="Times New Roman" w:hAnsi="Times New Roman" w:cs="Times New Roman"/>
          <w:sz w:val="24"/>
          <w:szCs w:val="24"/>
        </w:rPr>
        <w:t>бумаг, допущенных</w:t>
      </w:r>
      <w:r w:rsidRPr="00A12F11">
        <w:rPr>
          <w:rFonts w:ascii="Times New Roman" w:hAnsi="Times New Roman" w:cs="Times New Roman"/>
          <w:sz w:val="24"/>
          <w:szCs w:val="24"/>
        </w:rPr>
        <w:t xml:space="preserve">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
    <w:p w14:paraId="63C180D7" w14:textId="540F888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 xml:space="preserve">ценная бумага допущена к торгам на российской или иностранной бирже, приведенной в Приложении </w:t>
      </w:r>
      <w:r w:rsidR="001871BB" w:rsidRPr="00A12F11">
        <w:rPr>
          <w:rFonts w:ascii="Times New Roman" w:hAnsi="Times New Roman" w:cs="Times New Roman"/>
          <w:sz w:val="24"/>
          <w:szCs w:val="24"/>
        </w:rPr>
        <w:t>1</w:t>
      </w:r>
      <w:r w:rsidR="00025781" w:rsidRPr="00A12F11">
        <w:rPr>
          <w:rFonts w:ascii="Times New Roman" w:hAnsi="Times New Roman" w:cs="Times New Roman"/>
          <w:sz w:val="24"/>
          <w:szCs w:val="24"/>
        </w:rPr>
        <w:t>;</w:t>
      </w:r>
    </w:p>
    <w:p w14:paraId="1178A966" w14:textId="786AA6B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p>
    <w:p w14:paraId="5D077A1B" w14:textId="758B0E8F"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количество сделок за последние 10 (Десять) торговых дней в режиме основных торгов – 10 (Десять) и более;</w:t>
      </w:r>
    </w:p>
    <w:p w14:paraId="02E445AA" w14:textId="789D7BA3"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A5134CC" w14:textId="0886FCA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Основным рынком для российских ценных бумаг признается:</w:t>
      </w:r>
    </w:p>
    <w:p w14:paraId="686325C4"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если Московская биржа является активным рынком. </w:t>
      </w:r>
    </w:p>
    <w:p w14:paraId="3EACAEC1"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w:t>
      </w:r>
    </w:p>
    <w:p w14:paraId="01B8F583"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2FAF5C70"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Основным рынком для иностранных ценных бумаг признается:</w:t>
      </w:r>
    </w:p>
    <w:p w14:paraId="7579F0DB"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 </w:t>
      </w:r>
    </w:p>
    <w:p w14:paraId="6219ECE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17A34B8B" w14:textId="5124E0AF"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выборе иностранной или российской биржи из числа активных рынков учитываются только те активные рынки, цены на которых соответствуют критериям корректности, установленные в разделе  «Модели оценки стоимости ценных бумаг» </w:t>
      </w:r>
    </w:p>
    <w:p w14:paraId="6E95C83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p>
    <w:p w14:paraId="032FEDEF"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14:paraId="60C7A398"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В случае, если указанные ценные бумаги допущены к торгам только на российской бирже, то справедливая стоимость ценных бумаг определяется на Уровне 1 также, как определяется справедливая стоимость облигаций российского эмитента.</w:t>
      </w:r>
    </w:p>
    <w:p w14:paraId="65DBD9C8" w14:textId="77777777" w:rsidR="00025781" w:rsidRPr="00A12F11" w:rsidRDefault="00025781" w:rsidP="00A12F11">
      <w:pPr>
        <w:spacing w:before="240" w:line="276" w:lineRule="auto"/>
        <w:ind w:left="426" w:hanging="426"/>
        <w:jc w:val="both"/>
        <w:rPr>
          <w:rFonts w:ascii="Times New Roman" w:eastAsia="Times New Roman" w:hAnsi="Times New Roman" w:cs="Times New Roman"/>
          <w:b/>
          <w:sz w:val="24"/>
          <w:szCs w:val="24"/>
          <w:lang w:eastAsia="ru-RU"/>
        </w:rPr>
      </w:pPr>
    </w:p>
    <w:p w14:paraId="3E3EBD26"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22D1C439" w14:textId="37C9D520" w:rsidR="001871BB" w:rsidRPr="00A12F11" w:rsidRDefault="00025781" w:rsidP="00A12F11">
      <w:pPr>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sz w:val="24"/>
          <w:szCs w:val="24"/>
        </w:rPr>
        <w:t>Если на дату определения СЧА</w:t>
      </w:r>
      <w:r w:rsidRPr="00A12F11" w:rsidDel="00FE7717">
        <w:rPr>
          <w:rFonts w:ascii="Times New Roman" w:hAnsi="Times New Roman" w:cs="Times New Roman"/>
          <w:sz w:val="24"/>
          <w:szCs w:val="24"/>
        </w:rPr>
        <w:t xml:space="preserve"> </w:t>
      </w:r>
      <w:r w:rsidRPr="00A12F11">
        <w:rPr>
          <w:rFonts w:ascii="Times New Roman" w:hAnsi="Times New Roman" w:cs="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r w:rsidR="001871BB" w:rsidRPr="00A12F11">
        <w:rPr>
          <w:rFonts w:ascii="Times New Roman" w:hAnsi="Times New Roman" w:cs="Times New Roman"/>
          <w:sz w:val="24"/>
          <w:szCs w:val="24"/>
        </w:rPr>
        <w:t xml:space="preserve"> </w:t>
      </w:r>
      <w:r w:rsidR="001871BB" w:rsidRPr="00A12F11">
        <w:rPr>
          <w:rFonts w:ascii="Times New Roman" w:hAnsi="Times New Roman" w:cs="Times New Roman"/>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0275422E" w14:textId="77777777" w:rsidR="00AD65EC" w:rsidRPr="00A12F11" w:rsidRDefault="00AD65EC" w:rsidP="00A12F11">
      <w:pPr>
        <w:pStyle w:val="ac"/>
        <w:numPr>
          <w:ilvl w:val="3"/>
          <w:numId w:val="7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возникновения следующих событий:</w:t>
      </w:r>
    </w:p>
    <w:p w14:paraId="67788D17" w14:textId="516F533F"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Возникновение признаков обесценения, изложенных</w:t>
      </w:r>
      <w:r w:rsidR="00C901C3" w:rsidRPr="00A12F11">
        <w:rPr>
          <w:rFonts w:ascii="Times New Roman" w:hAnsi="Times New Roman" w:cs="Times New Roman"/>
          <w:sz w:val="24"/>
          <w:szCs w:val="24"/>
        </w:rPr>
        <w:t xml:space="preserve"> в Приложении 5</w:t>
      </w:r>
      <w:r w:rsidRPr="00A12F11">
        <w:rPr>
          <w:rFonts w:ascii="Times New Roman" w:hAnsi="Times New Roman" w:cs="Times New Roman"/>
          <w:sz w:val="24"/>
          <w:szCs w:val="24"/>
        </w:rPr>
        <w:t>.</w:t>
      </w:r>
    </w:p>
    <w:p w14:paraId="16C995E9" w14:textId="77777777" w:rsidR="00AD65EC" w:rsidRPr="00A12F11" w:rsidRDefault="00AD65EC" w:rsidP="00A12F11">
      <w:pPr>
        <w:pStyle w:val="ac"/>
        <w:numPr>
          <w:ilvl w:val="3"/>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4E88BB00"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Приостановка торгов, делистинг и изменение категории листинга любой ценной бумаги эмитента на любой торгуемой бирже. </w:t>
      </w:r>
    </w:p>
    <w:p w14:paraId="6E7AC10B"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color w:val="000000"/>
          <w:sz w:val="24"/>
          <w:szCs w:val="24"/>
          <w:lang w:eastAsia="ru-RU"/>
        </w:rPr>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764CBF39" w14:textId="7FC8DE02" w:rsidR="00AD65EC" w:rsidRPr="00A12F11" w:rsidRDefault="00D4072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w:t>
      </w:r>
      <w:r w:rsidR="00AD65EC" w:rsidRPr="00A12F11">
        <w:rPr>
          <w:rFonts w:ascii="Times New Roman" w:hAnsi="Times New Roman" w:cs="Times New Roman"/>
          <w:sz w:val="24"/>
          <w:szCs w:val="24"/>
        </w:rPr>
        <w:t>тоимость определяется в соответствии с порядком корректировк</w:t>
      </w:r>
      <w:r w:rsidR="00C901C3" w:rsidRPr="00A12F11">
        <w:rPr>
          <w:rFonts w:ascii="Times New Roman" w:hAnsi="Times New Roman" w:cs="Times New Roman"/>
          <w:sz w:val="24"/>
          <w:szCs w:val="24"/>
        </w:rPr>
        <w:t>и, предусмотренным Приложением 5</w:t>
      </w:r>
      <w:r w:rsidR="00AD65EC" w:rsidRPr="00A12F11">
        <w:rPr>
          <w:rFonts w:ascii="Times New Roman" w:hAnsi="Times New Roman" w:cs="Times New Roman"/>
          <w:sz w:val="24"/>
          <w:szCs w:val="24"/>
        </w:rPr>
        <w:t>;</w:t>
      </w:r>
    </w:p>
    <w:p w14:paraId="7950F433" w14:textId="77777777" w:rsidR="00AD65EC" w:rsidRPr="00A12F11" w:rsidRDefault="00AD65E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w:t>
      </w:r>
      <w:r w:rsidRPr="00A12F11">
        <w:rPr>
          <w:rFonts w:ascii="Times New Roman" w:hAnsi="Times New Roman" w:cs="Times New Roman"/>
          <w:i/>
          <w:sz w:val="24"/>
          <w:szCs w:val="24"/>
        </w:rPr>
        <w:t>(далее именуется Методика НРД</w:t>
      </w:r>
      <w:r w:rsidRPr="00A12F11">
        <w:rPr>
          <w:rStyle w:val="aff7"/>
          <w:rFonts w:ascii="Times New Roman" w:hAnsi="Times New Roman" w:cs="Times New Roman"/>
          <w:i/>
          <w:sz w:val="24"/>
          <w:szCs w:val="24"/>
        </w:rPr>
        <w:footnoteReference w:id="1"/>
      </w:r>
      <w:r w:rsidRPr="00A12F11">
        <w:rPr>
          <w:rFonts w:ascii="Times New Roman" w:hAnsi="Times New Roman" w:cs="Times New Roman"/>
          <w:i/>
          <w:sz w:val="24"/>
          <w:szCs w:val="24"/>
        </w:rPr>
        <w:t xml:space="preserve">) </w:t>
      </w:r>
      <w:r w:rsidRPr="00A12F11">
        <w:rPr>
          <w:rFonts w:ascii="Times New Roman" w:hAnsi="Times New Roman" w:cs="Times New Roman"/>
          <w:sz w:val="24"/>
          <w:szCs w:val="24"/>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p>
    <w:p w14:paraId="66ED5CFD" w14:textId="77F6463B" w:rsidR="00025781" w:rsidRPr="00A12F11" w:rsidRDefault="00025781" w:rsidP="00A12F11">
      <w:pPr>
        <w:spacing w:before="240" w:line="276" w:lineRule="auto"/>
        <w:ind w:left="426" w:hanging="426"/>
        <w:rPr>
          <w:rFonts w:ascii="Times New Roman" w:eastAsia="Calibri" w:hAnsi="Times New Roman" w:cs="Times New Roman"/>
          <w:b/>
          <w:bCs/>
          <w:sz w:val="24"/>
          <w:szCs w:val="24"/>
        </w:rPr>
      </w:pPr>
      <w:r w:rsidRPr="00A12F11">
        <w:rPr>
          <w:rFonts w:ascii="Times New Roman" w:eastAsia="Calibri" w:hAnsi="Times New Roman" w:cs="Times New Roman"/>
          <w:b/>
          <w:bCs/>
          <w:sz w:val="24"/>
          <w:szCs w:val="24"/>
        </w:rPr>
        <w:t>Модели оценки стоимости ценных бумаг</w:t>
      </w:r>
    </w:p>
    <w:tbl>
      <w:tblPr>
        <w:tblStyle w:val="af3"/>
        <w:tblW w:w="0" w:type="auto"/>
        <w:tblLook w:val="04A0" w:firstRow="1" w:lastRow="0" w:firstColumn="1" w:lastColumn="0" w:noHBand="0" w:noVBand="1"/>
      </w:tblPr>
      <w:tblGrid>
        <w:gridCol w:w="2965"/>
        <w:gridCol w:w="6948"/>
      </w:tblGrid>
      <w:tr w:rsidR="00025781" w:rsidRPr="00A12F11" w14:paraId="39D24806" w14:textId="77777777" w:rsidTr="00EF37DA">
        <w:trPr>
          <w:trHeight w:val="529"/>
        </w:trPr>
        <w:tc>
          <w:tcPr>
            <w:tcW w:w="10104" w:type="dxa"/>
            <w:gridSpan w:val="2"/>
            <w:tcBorders>
              <w:bottom w:val="single" w:sz="4" w:space="0" w:color="auto"/>
            </w:tcBorders>
          </w:tcPr>
          <w:p w14:paraId="3B1543AE"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bCs/>
                <w:iCs/>
                <w:color w:val="000000" w:themeColor="text1"/>
                <w:sz w:val="24"/>
                <w:szCs w:val="24"/>
              </w:rPr>
              <w:t>Модели оценки стоимости ценных бумаг, для которых определяется активный биржевой рынок (1-й уровень)</w:t>
            </w:r>
          </w:p>
        </w:tc>
      </w:tr>
      <w:tr w:rsidR="00025781" w:rsidRPr="00A12F11" w14:paraId="1DF6529A" w14:textId="77777777" w:rsidTr="00EF37DA">
        <w:tc>
          <w:tcPr>
            <w:tcW w:w="2986" w:type="dxa"/>
            <w:shd w:val="clear" w:color="auto" w:fill="A6A6A6" w:themeFill="background1" w:themeFillShade="A6"/>
          </w:tcPr>
          <w:p w14:paraId="5321D18A"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5370804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64D614F5" w14:textId="77777777" w:rsidTr="00EF37DA">
        <w:tc>
          <w:tcPr>
            <w:tcW w:w="2986" w:type="dxa"/>
          </w:tcPr>
          <w:p w14:paraId="0DCBAEDF" w14:textId="6344F8DB"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российского эмитента (в том числе инвестиционные паи российских паевых инвестиционных фондов,  депозитарная расписка)</w:t>
            </w:r>
          </w:p>
          <w:p w14:paraId="5A005B14"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B305B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20EE926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bookmarkStart w:id="2" w:name="цены_для_рос_цб"/>
            <w:r w:rsidRPr="00A12F11">
              <w:rPr>
                <w:rFonts w:ascii="Times New Roman" w:hAnsi="Times New Roman"/>
                <w:sz w:val="24"/>
                <w:szCs w:val="24"/>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7B731BE2"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спроса (bid) на момент окончания торговой сессии российской биржи на дату определения СЧА при условии подтверждения ее корректности;</w:t>
            </w:r>
          </w:p>
          <w:p w14:paraId="0A019C3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p>
          <w:p w14:paraId="7AD2F891"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p>
          <w:p w14:paraId="0A96C5EB"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на момент окончания торговой сессии российской биржи на дату определения</w:t>
            </w:r>
            <w:r w:rsidRPr="00A12F11" w:rsidDel="00F82288">
              <w:rPr>
                <w:rFonts w:ascii="Times New Roman" w:hAnsi="Times New Roman"/>
                <w:sz w:val="24"/>
                <w:szCs w:val="24"/>
              </w:rPr>
              <w:t xml:space="preserve"> </w:t>
            </w:r>
            <w:r w:rsidRPr="00A12F11">
              <w:rPr>
                <w:rFonts w:ascii="Times New Roman" w:hAnsi="Times New Roman"/>
                <w:sz w:val="24"/>
                <w:szCs w:val="24"/>
              </w:rPr>
              <w:t>СЧА при условии подтверждения ее корректности;</w:t>
            </w:r>
          </w:p>
          <w:p w14:paraId="553389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признается корректной, если раскрыты данные об объеме торгов за день и объем торгов не равен нулю.</w:t>
            </w:r>
            <w:r w:rsidRPr="00A12F11">
              <w:rPr>
                <w:rFonts w:ascii="Times New Roman" w:hAnsi="Times New Roman"/>
                <w:sz w:val="24"/>
                <w:szCs w:val="24"/>
              </w:rPr>
              <w:br/>
            </w:r>
            <w:bookmarkEnd w:id="2"/>
            <w:r w:rsidRPr="00A12F11">
              <w:rPr>
                <w:rFonts w:ascii="Times New Roman" w:hAnsi="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353F6D3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D4CC2B2"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на дату определения СЧА</w:t>
            </w:r>
            <w:r w:rsidRPr="00A12F11" w:rsidDel="00FE7717">
              <w:rPr>
                <w:rFonts w:ascii="Times New Roman" w:hAnsi="Times New Roman"/>
                <w:sz w:val="24"/>
                <w:szCs w:val="24"/>
              </w:rPr>
              <w:t xml:space="preserve"> </w:t>
            </w:r>
            <w:r w:rsidRPr="00A12F11">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025781" w:rsidRPr="00A12F11" w14:paraId="26A053BA" w14:textId="77777777" w:rsidTr="00EF37DA">
        <w:tc>
          <w:tcPr>
            <w:tcW w:w="2986" w:type="dxa"/>
          </w:tcPr>
          <w:p w14:paraId="03EEE33C"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иностранного эмитента (в том числе депозитарная расписка и паи (акции) иностранных инвестиционных фондов)</w:t>
            </w:r>
          </w:p>
          <w:p w14:paraId="7E901B4E"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c>
          <w:tcPr>
            <w:tcW w:w="7118" w:type="dxa"/>
          </w:tcPr>
          <w:p w14:paraId="79748D7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иностранных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last) на торговой площадке иностранной биржи  на дату определения СЧА, при условии подтверждения ее корректности; </w:t>
            </w:r>
            <w:r w:rsidRPr="00A12F11">
              <w:rPr>
                <w:rFonts w:ascii="Times New Roman" w:hAnsi="Times New Roman"/>
                <w:sz w:val="24"/>
                <w:szCs w:val="24"/>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Pr="00A12F11">
              <w:rPr>
                <w:rFonts w:ascii="Times New Roman" w:eastAsia="Times New Roman" w:hAnsi="Times New Roman"/>
                <w:sz w:val="24"/>
                <w:szCs w:val="24"/>
              </w:rPr>
              <w:t xml:space="preserve">, </w:t>
            </w:r>
            <w:r w:rsidRPr="00A12F11">
              <w:rPr>
                <w:rFonts w:ascii="Times New Roman" w:eastAsia="Times New Roman" w:hAnsi="Times New Roman"/>
                <w:color w:val="000000"/>
                <w:sz w:val="24"/>
                <w:szCs w:val="24"/>
              </w:rPr>
              <w:t>включая границы интервала</w:t>
            </w:r>
            <w:r w:rsidRPr="00A12F11">
              <w:rPr>
                <w:rFonts w:ascii="Times New Roman" w:hAnsi="Times New Roman"/>
                <w:sz w:val="24"/>
                <w:szCs w:val="24"/>
              </w:rPr>
              <w:t xml:space="preserve">;                </w:t>
            </w:r>
            <w:r w:rsidRPr="00A12F11">
              <w:rPr>
                <w:rFonts w:ascii="Times New Roman" w:hAnsi="Times New Roman"/>
                <w:sz w:val="24"/>
                <w:szCs w:val="24"/>
              </w:rPr>
              <w:br/>
              <w:t>b) цена закрытия (px_last) на  торговой площадке иностранной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07644AD4"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2D9761D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российских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r w:rsidRPr="00A12F11">
              <w:rPr>
                <w:rFonts w:ascii="Times New Roman" w:hAnsi="Times New Roman"/>
                <w:sz w:val="24"/>
                <w:szCs w:val="24"/>
              </w:rPr>
              <w:b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r w:rsidRPr="00A12F11">
              <w:rPr>
                <w:rFonts w:ascii="Times New Roman" w:hAnsi="Times New Roman"/>
                <w:sz w:val="24"/>
                <w:szCs w:val="24"/>
              </w:rPr>
              <w:br/>
              <w:t xml:space="preserve"> с) цена закрытия на момент окончания торговой сессии российской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239118C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07029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39E523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59F5D5B9" w14:textId="77777777" w:rsidTr="00EF37DA">
        <w:tc>
          <w:tcPr>
            <w:tcW w:w="10104" w:type="dxa"/>
            <w:gridSpan w:val="2"/>
            <w:tcBorders>
              <w:left w:val="nil"/>
              <w:bottom w:val="single" w:sz="4" w:space="0" w:color="auto"/>
              <w:right w:val="nil"/>
            </w:tcBorders>
          </w:tcPr>
          <w:p w14:paraId="7547AE47" w14:textId="4B8D68E8"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определяется активный внебиржевой рынок</w:t>
            </w:r>
            <w:r w:rsidR="002F3690" w:rsidRPr="00A12F11">
              <w:rPr>
                <w:rFonts w:ascii="Times New Roman" w:hAnsi="Times New Roman"/>
                <w:b/>
                <w:iCs/>
                <w:color w:val="000000" w:themeColor="text1"/>
                <w:sz w:val="24"/>
                <w:szCs w:val="24"/>
              </w:rPr>
              <w:t xml:space="preserve"> </w:t>
            </w:r>
            <w:r w:rsidRPr="00A12F11">
              <w:rPr>
                <w:rFonts w:ascii="Times New Roman" w:hAnsi="Times New Roman"/>
                <w:b/>
                <w:iCs/>
                <w:color w:val="000000" w:themeColor="text1"/>
                <w:sz w:val="24"/>
                <w:szCs w:val="24"/>
              </w:rPr>
              <w:t xml:space="preserve"> или для которых имеются наблюдаемые данные в отсутствии цен 1-го уровня  (2-й уровень)</w:t>
            </w:r>
          </w:p>
        </w:tc>
      </w:tr>
      <w:tr w:rsidR="00025781" w:rsidRPr="00A12F11" w14:paraId="6C05ADCD" w14:textId="77777777" w:rsidTr="00EF37DA">
        <w:tc>
          <w:tcPr>
            <w:tcW w:w="2986" w:type="dxa"/>
            <w:shd w:val="clear" w:color="auto" w:fill="A6A6A6" w:themeFill="background1" w:themeFillShade="A6"/>
          </w:tcPr>
          <w:p w14:paraId="471504D4"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0C672511"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72918EAE" w14:textId="77777777" w:rsidTr="00EF37DA">
        <w:tc>
          <w:tcPr>
            <w:tcW w:w="2986" w:type="dxa"/>
          </w:tcPr>
          <w:p w14:paraId="30E98D4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 xml:space="preserve">Российские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p>
          <w:p w14:paraId="0ADCD32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 xml:space="preserve"> и иностранные долевые ценные бумаги </w:t>
            </w:r>
          </w:p>
        </w:tc>
        <w:tc>
          <w:tcPr>
            <w:tcW w:w="7118" w:type="dxa"/>
          </w:tcPr>
          <w:p w14:paraId="549D3F2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Справедливая стоимость долевых ценных бумаг,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2F8CC00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корректировка применяется в случае отсутствия наблюдаемой цены в течение не более десяти рабочих дней.</w:t>
            </w:r>
            <w:r w:rsidRPr="00A12F11">
              <w:rPr>
                <w:rFonts w:ascii="Times New Roman" w:eastAsia="Times New Roman" w:hAnsi="Times New Roman"/>
                <w:color w:val="000000"/>
                <w:sz w:val="24"/>
                <w:szCs w:val="24"/>
              </w:rPr>
              <w:b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t xml:space="preserve">В случае, если валюта индекса отличается от валюты цены оцениваемой ценной бумаги в расчете цена ценной бумаги переводится  по курсу, установленному настоящими Правилами определения СЧА для конвертации стоимостей, выраженных в одной валюте, в другую валюту.  </w:t>
            </w:r>
            <w:r w:rsidRPr="00A12F11">
              <w:rPr>
                <w:rFonts w:ascii="Times New Roman" w:eastAsia="Times New Roman" w:hAnsi="Times New Roman"/>
                <w:color w:val="000000"/>
                <w:sz w:val="24"/>
                <w:szCs w:val="24"/>
              </w:rPr>
              <w:br/>
              <w:t>Формула расчета справедливой стоимости на дату расчета:</w:t>
            </w:r>
            <w:r w:rsidRPr="00A12F11">
              <w:rPr>
                <w:rFonts w:ascii="Times New Roman" w:eastAsia="Times New Roman" w:hAnsi="Times New Roman"/>
                <w:color w:val="000000"/>
                <w:sz w:val="24"/>
                <w:szCs w:val="24"/>
              </w:rPr>
              <w:br/>
            </w:r>
          </w:p>
          <w:p w14:paraId="45AF352A" w14:textId="583C9999"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1+E(R)</m:t>
                    </m:r>
                  </m:e>
                </m:d>
              </m:oMath>
            </m:oMathPara>
          </w:p>
          <w:p w14:paraId="27DD76B9" w14:textId="77777777" w:rsidR="00C901C3" w:rsidRPr="00A12F11" w:rsidRDefault="00C901C3" w:rsidP="00A12F11">
            <w:pPr>
              <w:spacing w:before="240" w:line="276" w:lineRule="auto"/>
              <w:ind w:left="426" w:hanging="426"/>
              <w:jc w:val="both"/>
              <w:rPr>
                <w:rFonts w:ascii="Times New Roman" w:eastAsia="Times New Roman" w:hAnsi="Times New Roman"/>
                <w:color w:val="000000"/>
                <w:sz w:val="24"/>
                <w:szCs w:val="24"/>
              </w:rPr>
            </w:pPr>
          </w:p>
          <w:p w14:paraId="6D9772A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661789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Формула расчета ожидаемой доходности модели CAPM:</w:t>
            </w:r>
          </w:p>
          <w:p w14:paraId="2FF0A9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3E9B23E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+β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e>
                </m:d>
              </m:oMath>
            </m:oMathPara>
          </w:p>
          <w:p w14:paraId="60BCE1E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9325ED6"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C6D196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p>
          <w:p w14:paraId="70734559"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справедливая стоимость одной ценной бумаги на дату определения справедливой стоимости;</w:t>
            </w:r>
          </w:p>
          <w:p w14:paraId="1138607F"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последняя определенная справедливая стоимость ценной бумаги;</w:t>
            </w:r>
          </w:p>
          <w:p w14:paraId="3ADA90AC"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6DECFA96"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3756401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oMath>
            <w:r w:rsidRPr="00A12F11">
              <w:rPr>
                <w:rFonts w:ascii="Times New Roman" w:eastAsia="Times New Roman" w:hAnsi="Times New Roman"/>
                <w:color w:val="000000"/>
                <w:sz w:val="24"/>
                <w:szCs w:val="24"/>
              </w:rPr>
              <w:t xml:space="preserve"> – ожидаемая доходность ценной бумаги;</w:t>
            </w:r>
          </w:p>
          <w:p w14:paraId="02E6302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3D190DF"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AF92E8"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oMath>
            <w:r w:rsidR="00025781" w:rsidRPr="00A12F11">
              <w:rPr>
                <w:rFonts w:ascii="Times New Roman" w:eastAsia="Times New Roman" w:hAnsi="Times New Roman"/>
                <w:color w:val="000000"/>
                <w:sz w:val="24"/>
                <w:szCs w:val="24"/>
              </w:rPr>
              <w:t xml:space="preserve"> – Risk-free Rate – безрисковая ставка доходности, приведенная к количеству календарных дней между датами ее расчета;</w:t>
            </w:r>
          </w:p>
          <w:p w14:paraId="6CE50F96" w14:textId="77FFC0C3"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br/>
            </w:r>
          </w:p>
          <w:p w14:paraId="5287152D"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23444B06"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Para>
              <m:oMath>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r>
                      <m:rPr>
                        <m:sty m:val="p"/>
                      </m:rPr>
                      <w:rPr>
                        <w:rFonts w:ascii="Cambria Math" w:eastAsia="Times New Roman" w:hAnsi="Cambria Math"/>
                        <w:color w:val="000000"/>
                        <w:sz w:val="24"/>
                        <w:szCs w:val="24"/>
                      </w:rPr>
                      <m:t>/365</m:t>
                    </m:r>
                  </m:e>
                </m:d>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m:oMathPara>
          </w:p>
          <w:p w14:paraId="0DFED95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r w:rsidRPr="00A12F11">
              <w:rPr>
                <w:rFonts w:ascii="Times New Roman" w:eastAsia="Times New Roman" w:hAnsi="Times New Roman"/>
                <w:color w:val="000000"/>
                <w:sz w:val="24"/>
                <w:szCs w:val="24"/>
              </w:rPr>
              <w:br/>
              <w:t xml:space="preserve">где </w:t>
            </w:r>
            <m:oMath>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w:r w:rsidRPr="00A12F11">
              <w:rPr>
                <w:rFonts w:ascii="Times New Roman" w:eastAsia="Times New Roman" w:hAnsi="Times New Roman"/>
                <w:color w:val="000000"/>
                <w:sz w:val="24"/>
                <w:szCs w:val="24"/>
              </w:rPr>
              <w:t xml:space="preserve"> - количество календарных дней между указанными датами.</w:t>
            </w:r>
          </w:p>
          <w:p w14:paraId="04E4558B"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дата определения справедливой стоимости;</w:t>
            </w:r>
          </w:p>
          <w:p w14:paraId="46B269CC"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предыдущая дата определения справедливой стоимости.</w:t>
            </w:r>
          </w:p>
          <w:p w14:paraId="459188B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российских эмитентов</w:t>
            </w:r>
            <w:r w:rsidRPr="00A12F11">
              <w:rPr>
                <w:rFonts w:ascii="Times New Roman" w:eastAsia="Times New Roman" w:hAnsi="Times New Roman"/>
                <w:color w:val="000000"/>
                <w:sz w:val="24"/>
                <w:szCs w:val="24"/>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7B365A2C"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методика расчёта кривой бескупонной доходности государственных облигаций, определенная Московской биржей;</w:t>
            </w:r>
          </w:p>
          <w:p w14:paraId="6F2E42B1"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динамические параметры G-кривой по состоянию на каждый торговый день, публикуемые на официальном сайте Московской биржи.</w:t>
            </w:r>
          </w:p>
          <w:p w14:paraId="5CC1721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иностранных эмитентов</w:t>
            </w:r>
            <w:r w:rsidRPr="00A12F11">
              <w:rPr>
                <w:rFonts w:ascii="Times New Roman" w:eastAsia="Times New Roman" w:hAnsi="Times New Roman"/>
                <w:color w:val="000000"/>
                <w:sz w:val="24"/>
                <w:szCs w:val="24"/>
              </w:rPr>
              <w:t xml:space="preserve"> в качестве безрисковой ставки доходности применяется ставка по государственным ценным бумагам, «страна риска» которых соответствует «стране риска» оцениваемой акции по данным ИС </w:t>
            </w:r>
            <w:r w:rsidRPr="00A12F11">
              <w:rPr>
                <w:rFonts w:ascii="Times New Roman" w:eastAsia="Times New Roman" w:hAnsi="Times New Roman"/>
                <w:color w:val="000000"/>
                <w:sz w:val="24"/>
                <w:szCs w:val="24"/>
                <w:lang w:val="en-US"/>
              </w:rPr>
              <w:t>Bloomberg</w:t>
            </w:r>
            <w:r w:rsidRPr="00A12F11">
              <w:rPr>
                <w:rFonts w:ascii="Times New Roman" w:eastAsia="Times New Roman" w:hAnsi="Times New Roman"/>
                <w:color w:val="000000"/>
                <w:sz w:val="24"/>
                <w:szCs w:val="24"/>
              </w:rPr>
              <w:t>.</w:t>
            </w:r>
          </w:p>
          <w:p w14:paraId="0443BF72"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Ставка КБД рассчитывается без промежуточных округлений с точностью до 2 знаков после запятой (в процентном выражении).</w:t>
            </w:r>
          </w:p>
          <w:p w14:paraId="361424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B6C914"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84CE85F"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7B51C4"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7AFC8A17"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454A95E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965C1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FB8160E" w14:textId="2A93EF0B"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08465516" w14:textId="0D3AE98A"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281DFD9E"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4432E7E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β=</m:t>
                </m:r>
                <m:f>
                  <m:fPr>
                    <m:ctrlPr>
                      <w:rPr>
                        <w:rFonts w:ascii="Cambria Math" w:eastAsia="Times New Roman" w:hAnsi="Cambria Math"/>
                        <w:color w:val="000000"/>
                        <w:sz w:val="24"/>
                        <w:szCs w:val="24"/>
                      </w:rPr>
                    </m:ctrlPr>
                  </m:fPr>
                  <m:num>
                    <m:r>
                      <m:rPr>
                        <m:sty m:val="p"/>
                      </m:rPr>
                      <w:rPr>
                        <w:rFonts w:ascii="Cambria Math" w:eastAsia="Times New Roman" w:hAnsi="Cambria Math"/>
                        <w:color w:val="000000"/>
                        <w:sz w:val="24"/>
                        <w:szCs w:val="24"/>
                      </w:rPr>
                      <m:t xml:space="preserve">Covariance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 xml:space="preserve">, </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 xml:space="preserve"> R</m:t>
                            </m:r>
                          </m:e>
                          <m:sub>
                            <m:r>
                              <m:rPr>
                                <m:sty m:val="p"/>
                              </m:rPr>
                              <w:rPr>
                                <w:rFonts w:ascii="Cambria Math" w:eastAsia="Times New Roman" w:hAnsi="Cambria Math"/>
                                <w:color w:val="000000"/>
                                <w:sz w:val="24"/>
                                <w:szCs w:val="24"/>
                              </w:rPr>
                              <m:t>m</m:t>
                            </m:r>
                          </m:sub>
                        </m:sSub>
                      </m:e>
                    </m:d>
                  </m:num>
                  <m:den>
                    <m:r>
                      <m:rPr>
                        <m:sty m:val="p"/>
                      </m:rPr>
                      <w:rPr>
                        <w:rFonts w:ascii="Cambria Math" w:eastAsia="Times New Roman" w:hAnsi="Cambria Math"/>
                        <w:color w:val="000000"/>
                        <w:sz w:val="24"/>
                        <w:szCs w:val="24"/>
                      </w:rPr>
                      <m:t xml:space="preserve">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e>
                    </m:d>
                  </m:den>
                </m:f>
              </m:oMath>
            </m:oMathPara>
          </w:p>
          <w:p w14:paraId="6FF895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2E840D14"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-1,  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 xml:space="preserve">-1 </m:t>
                </m:r>
              </m:oMath>
            </m:oMathPara>
          </w:p>
          <w:p w14:paraId="1AF67FF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7D9846C6"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00025781" w:rsidRPr="00A12F11">
              <w:rPr>
                <w:rFonts w:ascii="Times New Roman" w:eastAsia="Times New Roman" w:hAnsi="Times New Roman"/>
                <w:color w:val="000000"/>
                <w:sz w:val="24"/>
                <w:szCs w:val="24"/>
              </w:rPr>
              <w:t xml:space="preserve"> - доходность актива;</w:t>
            </w:r>
          </w:p>
          <w:p w14:paraId="55E01988"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цена закрытия актива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11405D23"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предыдущая цена закрытия актива;</w:t>
            </w:r>
          </w:p>
          <w:p w14:paraId="6D41BC50"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0DE23689"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3A52E7C8" w14:textId="77777777" w:rsidR="00025781" w:rsidRPr="00A12F11" w:rsidRDefault="00421381"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предыдущее значение рыночного индикатора;</w:t>
            </w:r>
          </w:p>
          <w:p w14:paraId="1992BE7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i=1…N</m:t>
              </m:r>
            </m:oMath>
            <w:r w:rsidRPr="00A12F11">
              <w:rPr>
                <w:rFonts w:ascii="Times New Roman" w:eastAsia="Times New Roman" w:hAnsi="Times New Roman"/>
                <w:color w:val="000000"/>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Цена закрытия актива на дату определения справедливой стоимости в модели не учитывается.</w:t>
            </w:r>
          </w:p>
          <w:p w14:paraId="2DA1E12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3646792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48A339B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Показатели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Pr="00A12F11">
              <w:rPr>
                <w:rFonts w:ascii="Times New Roman" w:eastAsia="Times New Roman" w:hAnsi="Times New Roman"/>
                <w:color w:val="000000"/>
                <w:sz w:val="24"/>
                <w:szCs w:val="24"/>
              </w:rPr>
              <w:t xml:space="preserve">,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Pr="00A12F11">
              <w:rPr>
                <w:rFonts w:ascii="Times New Roman" w:eastAsia="Times New Roman" w:hAnsi="Times New Roman"/>
                <w:color w:val="000000"/>
                <w:sz w:val="24"/>
                <w:szCs w:val="24"/>
              </w:rPr>
              <w:t xml:space="preserve"> рассчитываются без промежуточных округлений.</w:t>
            </w:r>
          </w:p>
          <w:p w14:paraId="38EA0C2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Полученное значение Бета коэффициента округляется по правилам математического округления до пяти десятичных знаков.</w:t>
            </w:r>
          </w:p>
          <w:p w14:paraId="05E20D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C277BA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Прочие условия:</w:t>
            </w:r>
          </w:p>
          <w:p w14:paraId="21BFB1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5215C4AB" w14:textId="77777777" w:rsidR="00025781" w:rsidRPr="00A12F11" w:rsidRDefault="00025781" w:rsidP="00A12F11">
            <w:pPr>
              <w:pStyle w:val="ac"/>
              <w:numPr>
                <w:ilvl w:val="0"/>
                <w:numId w:val="7"/>
              </w:num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w:t>
            </w:r>
          </w:p>
          <w:p w14:paraId="2826A5DF" w14:textId="77777777" w:rsidR="00025781" w:rsidRPr="00A12F11" w:rsidRDefault="00025781" w:rsidP="00A12F11">
            <w:pPr>
              <w:pStyle w:val="ac"/>
              <w:spacing w:before="240" w:line="276" w:lineRule="auto"/>
              <w:ind w:left="426" w:hanging="426"/>
              <w:jc w:val="both"/>
              <w:rPr>
                <w:rFonts w:ascii="Times New Roman" w:eastAsia="Times New Roman" w:hAnsi="Times New Roman"/>
                <w:color w:val="000000"/>
                <w:sz w:val="24"/>
                <w:szCs w:val="24"/>
              </w:rPr>
            </w:pPr>
          </w:p>
          <w:p w14:paraId="49AB467A" w14:textId="77777777" w:rsidR="00E94F46"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noProof/>
                <w:color w:val="000000" w:themeColor="text1"/>
                <w:sz w:val="24"/>
                <w:szCs w:val="24"/>
              </w:rPr>
              <w:drawing>
                <wp:anchor distT="0" distB="0" distL="114300" distR="114300" simplePos="0" relativeHeight="251659264" behindDoc="0" locked="0" layoutInCell="1" allowOverlap="1" wp14:anchorId="47E56712" wp14:editId="46AFF6DA">
                  <wp:simplePos x="0" y="0"/>
                  <wp:positionH relativeFrom="column">
                    <wp:posOffset>-224155</wp:posOffset>
                  </wp:positionH>
                  <wp:positionV relativeFrom="paragraph">
                    <wp:posOffset>1177925</wp:posOffset>
                  </wp:positionV>
                  <wp:extent cx="4878705" cy="482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46" cstate="print"/>
                          <a:stretch>
                            <a:fillRect/>
                          </a:stretch>
                        </pic:blipFill>
                        <pic:spPr>
                          <a:xfrm>
                            <a:off x="0" y="0"/>
                            <a:ext cx="4878705" cy="482600"/>
                          </a:xfrm>
                          <a:prstGeom prst="rect">
                            <a:avLst/>
                          </a:prstGeom>
                        </pic:spPr>
                      </pic:pic>
                    </a:graphicData>
                  </a:graphic>
                </wp:anchor>
              </w:drawing>
            </w:r>
            <w:r w:rsidRPr="00A12F11">
              <w:rPr>
                <w:rFonts w:ascii="Times New Roman" w:eastAsia="Times New Roman" w:hAnsi="Times New Roman"/>
                <w:color w:val="000000"/>
                <w:sz w:val="24"/>
                <w:szCs w:val="24"/>
              </w:rPr>
              <w:t>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p>
          <w:p w14:paraId="1B9B83C8"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6DB61601" w14:textId="4ABBA451"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 где n – дата определения СЧА, </w:t>
            </w:r>
          </w:p>
          <w:p w14:paraId="7D7714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14:paraId="5C66FB9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PX_ASK – наименьшая цена предложения, опубликованная информационным ресурсом Bloomberg. </w:t>
            </w:r>
            <w:r w:rsidRPr="00A12F11">
              <w:rPr>
                <w:rFonts w:ascii="Times New Roman" w:eastAsia="Times New Roman" w:hAnsi="Times New Roman"/>
                <w:color w:val="000000"/>
                <w:sz w:val="24"/>
                <w:szCs w:val="24"/>
              </w:rPr>
              <w:br/>
            </w:r>
          </w:p>
          <w:p w14:paraId="75CE52A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цена считается корректной при соблюдении одновременно следующих условий:</w:t>
            </w:r>
            <w:r w:rsidRPr="00A12F11">
              <w:rPr>
                <w:rFonts w:ascii="Times New Roman" w:eastAsia="Times New Roman" w:hAnsi="Times New Roman"/>
                <w:color w:val="000000"/>
                <w:sz w:val="24"/>
                <w:szCs w:val="24"/>
              </w:rPr>
              <w:br/>
              <w:t xml:space="preserve">- в течение 10 предшествующих торговых дней непрерывно наблюдались двусторонние котировки, внутридневное количество которых не менее 10; </w:t>
            </w:r>
            <w:r w:rsidRPr="00A12F11">
              <w:rPr>
                <w:rFonts w:ascii="Times New Roman" w:eastAsia="Times New Roman" w:hAnsi="Times New Roman"/>
                <w:color w:val="000000"/>
                <w:sz w:val="24"/>
                <w:szCs w:val="24"/>
              </w:rPr>
              <w:b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r w:rsidRPr="00A12F11">
              <w:rPr>
                <w:rFonts w:ascii="Times New Roman" w:eastAsia="Times New Roman" w:hAnsi="Times New Roman"/>
                <w:color w:val="000000"/>
                <w:sz w:val="24"/>
                <w:szCs w:val="24"/>
              </w:rPr>
              <w:br/>
              <w:t>Данная модель применяется по истечении 10 рабочих дней применения модели CAPM.</w:t>
            </w:r>
          </w:p>
          <w:p w14:paraId="0744B99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необходимых данных для расчета стоимости, справедливая оценка определяется на 3-м уровне оценки.</w:t>
            </w:r>
          </w:p>
        </w:tc>
      </w:tr>
      <w:tr w:rsidR="00025781" w:rsidRPr="00A12F11" w14:paraId="48B8DAEE" w14:textId="77777777" w:rsidTr="00EF37DA">
        <w:tc>
          <w:tcPr>
            <w:tcW w:w="2986" w:type="dxa"/>
          </w:tcPr>
          <w:p w14:paraId="29D8281E"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468160FC"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01605833"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551B9076" w14:textId="6C728B8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Депозитарные расписки</w:t>
            </w:r>
          </w:p>
        </w:tc>
        <w:tc>
          <w:tcPr>
            <w:tcW w:w="7118" w:type="dxa"/>
          </w:tcPr>
          <w:p w14:paraId="52521CBA"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1D81E466" w14:textId="1E58B4C0"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 </w:t>
            </w:r>
          </w:p>
          <w:p w14:paraId="1B23D54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hAnsi="Times New Roman"/>
                <w:sz w:val="24"/>
                <w:szCs w:val="24"/>
              </w:rPr>
              <w:t xml:space="preserve">В случае невозможности определения справедливой стоимости базового актива, применяются общие правила 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 (модель</w:t>
            </w:r>
            <w:r w:rsidRPr="00A12F11">
              <w:rPr>
                <w:rFonts w:ascii="Times New Roman" w:eastAsia="Times New Roman" w:hAnsi="Times New Roman"/>
                <w:color w:val="000000"/>
                <w:sz w:val="24"/>
                <w:szCs w:val="24"/>
              </w:rPr>
              <w:t xml:space="preserve"> CAPM)</w:t>
            </w:r>
            <w:r w:rsidRPr="00A12F11">
              <w:rPr>
                <w:rFonts w:ascii="Times New Roman" w:hAnsi="Times New Roman"/>
                <w:sz w:val="24"/>
                <w:szCs w:val="24"/>
              </w:rPr>
              <w:t>.</w:t>
            </w:r>
          </w:p>
        </w:tc>
      </w:tr>
      <w:tr w:rsidR="00025781" w:rsidRPr="00A12F11" w14:paraId="42106EB2" w14:textId="77777777" w:rsidTr="00EF37DA">
        <w:tc>
          <w:tcPr>
            <w:tcW w:w="2986" w:type="dxa"/>
          </w:tcPr>
          <w:p w14:paraId="68AA4B07" w14:textId="680BDEF8"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Инвестиционные паи российских паевых инвестиционных фондов</w:t>
            </w:r>
          </w:p>
          <w:p w14:paraId="680D460C"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04539E3"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CA992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29621EEC"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Паи (акции) иностранных инвестиционных фондов)</w:t>
            </w:r>
          </w:p>
          <w:p w14:paraId="34490E97"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71C17BF0"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p>
          <w:p w14:paraId="26BC922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В случае отсутствия раскрытых управляющей компанией данных о расчетной стоимости, применяется 3-й уровень оценки.</w:t>
            </w:r>
          </w:p>
          <w:p w14:paraId="2B3FFEF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12636C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eastAsia="Times New Roman" w:hAnsi="Times New Roman"/>
                <w:sz w:val="24"/>
                <w:szCs w:val="24"/>
              </w:rPr>
              <w:t xml:space="preserve">   </w:t>
            </w:r>
            <w:r w:rsidRPr="00A12F11">
              <w:rPr>
                <w:rFonts w:ascii="Times New Roman" w:hAnsi="Times New Roman"/>
                <w:sz w:val="24"/>
                <w:szCs w:val="24"/>
              </w:rPr>
              <w:t>В отношении паев (акций) иностранных инвестиционных фондов для определения справедливой стоимости используется расчетная стоимость (</w:t>
            </w:r>
            <w:r w:rsidRPr="00A12F11">
              <w:rPr>
                <w:rFonts w:ascii="Times New Roman" w:hAnsi="Times New Roman"/>
                <w:sz w:val="24"/>
                <w:szCs w:val="24"/>
                <w:lang w:val="en-US"/>
              </w:rPr>
              <w:t>NAV</w:t>
            </w:r>
            <w:r w:rsidRPr="00A12F11">
              <w:rPr>
                <w:rFonts w:ascii="Times New Roman" w:hAnsi="Times New Roman"/>
                <w:sz w:val="24"/>
                <w:szCs w:val="24"/>
              </w:rPr>
              <w:t xml:space="preserve">), раскрываемая </w:t>
            </w:r>
            <w:r w:rsidRPr="00A12F11">
              <w:rPr>
                <w:rFonts w:ascii="Times New Roman" w:eastAsia="Times New Roman" w:hAnsi="Times New Roman"/>
                <w:color w:val="000000"/>
                <w:sz w:val="24"/>
                <w:szCs w:val="24"/>
              </w:rPr>
              <w:t>информационной системой "Блумберг" (Bloomberg)</w:t>
            </w:r>
            <w:r w:rsidRPr="00A12F11">
              <w:rPr>
                <w:rFonts w:ascii="Times New Roman" w:hAnsi="Times New Roman"/>
                <w:sz w:val="24"/>
                <w:szCs w:val="24"/>
              </w:rPr>
              <w:t>,</w:t>
            </w:r>
            <w:r w:rsidRPr="00A12F11">
              <w:rPr>
                <w:rFonts w:ascii="Times New Roman" w:eastAsia="Times New Roman" w:hAnsi="Times New Roman"/>
                <w:color w:val="000000"/>
                <w:sz w:val="24"/>
                <w:szCs w:val="24"/>
              </w:rPr>
              <w:t xml:space="preserve"> на дату определения СЧА.</w:t>
            </w:r>
            <w:r w:rsidRPr="00A12F11">
              <w:rPr>
                <w:rFonts w:ascii="Times New Roman" w:eastAsia="Times New Roman" w:hAnsi="Times New Roman"/>
                <w:sz w:val="24"/>
                <w:szCs w:val="24"/>
              </w:rPr>
              <w:t xml:space="preserve">В случае отсутствия раскрытых данных о расчетной стоимости пая (акции) иностранного инвестиционного фонда, применяются общие правила </w:t>
            </w:r>
            <w:r w:rsidRPr="00A12F11">
              <w:rPr>
                <w:rFonts w:ascii="Times New Roman" w:hAnsi="Times New Roman"/>
                <w:sz w:val="24"/>
                <w:szCs w:val="24"/>
              </w:rPr>
              <w:t xml:space="preserve">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w:t>
            </w:r>
            <w:r w:rsidRPr="00A12F11">
              <w:rPr>
                <w:rFonts w:ascii="Times New Roman" w:eastAsia="Times New Roman" w:hAnsi="Times New Roman"/>
                <w:color w:val="FF0000"/>
                <w:sz w:val="24"/>
                <w:szCs w:val="24"/>
              </w:rPr>
              <w:t xml:space="preserve"> </w:t>
            </w:r>
            <w:r w:rsidRPr="00A12F11">
              <w:rPr>
                <w:rFonts w:ascii="Times New Roman" w:eastAsia="Times New Roman" w:hAnsi="Times New Roman"/>
                <w:sz w:val="24"/>
                <w:szCs w:val="24"/>
              </w:rPr>
              <w:t>(</w:t>
            </w:r>
            <w:r w:rsidRPr="00A12F11">
              <w:rPr>
                <w:rFonts w:ascii="Times New Roman" w:eastAsia="Times New Roman" w:hAnsi="Times New Roman"/>
                <w:color w:val="000000"/>
                <w:sz w:val="24"/>
                <w:szCs w:val="24"/>
              </w:rPr>
              <w:t>модель CAPM).</w:t>
            </w:r>
          </w:p>
        </w:tc>
      </w:tr>
      <w:tr w:rsidR="00025781" w:rsidRPr="00A12F11" w14:paraId="0E492D35" w14:textId="77777777" w:rsidTr="00EF37DA">
        <w:tc>
          <w:tcPr>
            <w:tcW w:w="2986" w:type="dxa"/>
          </w:tcPr>
          <w:p w14:paraId="0B738CEA"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Облигации внешних облигационных займов Российской Федерации </w:t>
            </w:r>
          </w:p>
          <w:p w14:paraId="6AF1B63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5E8213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Долговые ценные бумаги иностранных государств </w:t>
            </w:r>
          </w:p>
          <w:p w14:paraId="454F0E8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04ED18D4"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Еврооблигации иностранного эмитента, </w:t>
            </w:r>
          </w:p>
          <w:p w14:paraId="16DE30F2"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50862AB"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международной финансовой организации</w:t>
            </w:r>
          </w:p>
          <w:p w14:paraId="0DBE212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20A7F4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Долговые ценные бумаги иностранных эмитентов</w:t>
            </w:r>
          </w:p>
        </w:tc>
        <w:tc>
          <w:tcPr>
            <w:tcW w:w="7118" w:type="dxa"/>
          </w:tcPr>
          <w:p w14:paraId="77C1A3C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p>
          <w:p w14:paraId="5AB4F3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a</w:t>
            </w:r>
            <w:r w:rsidRPr="00A12F11">
              <w:rPr>
                <w:rFonts w:ascii="Times New Roman" w:hAnsi="Times New Roman"/>
                <w:sz w:val="24"/>
                <w:szCs w:val="24"/>
              </w:rPr>
              <w:t xml:space="preserve">) цена закрытия BGN (Bloomberg Generic) (Last Price), раскрываемая информационной системой "Блумберг" (Bloomberg) на дату определения СЧА; </w:t>
            </w:r>
          </w:p>
          <w:p w14:paraId="6ADEA57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b</w:t>
            </w:r>
            <w:r w:rsidRPr="00A12F11">
              <w:rPr>
                <w:rFonts w:ascii="Times New Roman" w:hAnsi="Times New Roman"/>
                <w:sz w:val="24"/>
                <w:szCs w:val="24"/>
              </w:rPr>
              <w:t>) цена закрытия BVAL (Bloomberg Valuation) (Mid BVAL), раскрываемая информационной системой "Блумберг" (Bloomberg) на дату определения СЧА, при этом Score равен 6 и выше.</w:t>
            </w:r>
          </w:p>
          <w:p w14:paraId="7A7F174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с) 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78ACF69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E7D5CD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 </w:t>
            </w:r>
          </w:p>
          <w:p w14:paraId="4A60924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75D8A1A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14:paraId="12BD96A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6F0BF105" w14:textId="77777777" w:rsidTr="00E94F46">
        <w:trPr>
          <w:trHeight w:val="703"/>
        </w:trPr>
        <w:tc>
          <w:tcPr>
            <w:tcW w:w="2986" w:type="dxa"/>
            <w:tcBorders>
              <w:bottom w:val="single" w:sz="4" w:space="0" w:color="auto"/>
            </w:tcBorders>
          </w:tcPr>
          <w:p w14:paraId="285807FF"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b/>
                <w:color w:val="000000"/>
                <w:sz w:val="24"/>
                <w:szCs w:val="24"/>
              </w:rPr>
              <w:t>Облигации российских эмитентов (за исключением облигаций внешнего облигационного займа)</w:t>
            </w:r>
          </w:p>
          <w:p w14:paraId="54378EE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Borders>
              <w:bottom w:val="single" w:sz="4" w:space="0" w:color="auto"/>
            </w:tcBorders>
          </w:tcPr>
          <w:p w14:paraId="72717EB7"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 </w:t>
            </w:r>
            <w:r w:rsidRPr="00A12F11">
              <w:rPr>
                <w:rFonts w:ascii="Times New Roman" w:eastAsia="Times New Roman" w:hAnsi="Times New Roman"/>
                <w:color w:val="000000"/>
                <w:sz w:val="24"/>
                <w:szCs w:val="24"/>
              </w:rPr>
              <w:t xml:space="preserve">используются цены выбранные </w:t>
            </w:r>
            <w:r w:rsidRPr="00A12F11">
              <w:rPr>
                <w:rFonts w:ascii="Times New Roman" w:hAnsi="Times New Roman"/>
                <w:sz w:val="24"/>
                <w:szCs w:val="24"/>
              </w:rPr>
              <w:t>в следующем порядке (убывания приоритета):</w:t>
            </w:r>
          </w:p>
          <w:p w14:paraId="07173409"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033F2F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(Last Price) BGN (Bloomberg Generic), раскрываемая информационной системой "Блумберг" (Bloomberg) на дату определения СЧА;</w:t>
            </w:r>
          </w:p>
          <w:p w14:paraId="03FDDD2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D1AFE8F" w14:textId="77777777" w:rsidR="00025781" w:rsidRPr="00A12F11" w:rsidRDefault="00025781" w:rsidP="00A12F11">
            <w:pPr>
              <w:pStyle w:val="ac"/>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p w14:paraId="76D1F0B3" w14:textId="2B44817F" w:rsidR="00025781" w:rsidRPr="00A12F11" w:rsidRDefault="00025781" w:rsidP="00A12F11">
            <w:pPr>
              <w:pStyle w:val="ac"/>
              <w:numPr>
                <w:ilvl w:val="0"/>
                <w:numId w:val="9"/>
              </w:numPr>
              <w:spacing w:before="240" w:line="276" w:lineRule="auto"/>
              <w:ind w:left="426" w:hanging="426"/>
              <w:contextualSpacing w:val="0"/>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 бумаг, номинированных в рублях</w:t>
            </w:r>
            <w:r w:rsidR="00E94F46" w:rsidRPr="00A12F11">
              <w:rPr>
                <w:rFonts w:ascii="Times New Roman" w:eastAsia="Times New Roman" w:hAnsi="Times New Roman"/>
                <w:color w:val="000000"/>
                <w:sz w:val="24"/>
                <w:szCs w:val="24"/>
              </w:rPr>
              <w:t xml:space="preserve">, в соответствии с Приложением </w:t>
            </w:r>
            <w:r w:rsidR="003E1CA4" w:rsidRPr="00A12F11">
              <w:rPr>
                <w:rFonts w:ascii="Times New Roman" w:eastAsia="Times New Roman" w:hAnsi="Times New Roman"/>
                <w:color w:val="000000"/>
                <w:sz w:val="24"/>
                <w:szCs w:val="24"/>
              </w:rPr>
              <w:t>2</w:t>
            </w:r>
            <w:r w:rsidR="00E94F46" w:rsidRPr="00A12F11">
              <w:rPr>
                <w:rFonts w:ascii="Times New Roman" w:eastAsia="Times New Roman" w:hAnsi="Times New Roman"/>
                <w:color w:val="000000"/>
                <w:sz w:val="24"/>
                <w:szCs w:val="24"/>
              </w:rPr>
              <w:t>2</w:t>
            </w:r>
            <w:r w:rsidRPr="00A12F11">
              <w:rPr>
                <w:rFonts w:ascii="Times New Roman" w:eastAsia="Times New Roman" w:hAnsi="Times New Roman"/>
                <w:color w:val="000000"/>
                <w:sz w:val="24"/>
                <w:szCs w:val="24"/>
              </w:rPr>
              <w:t>.</w:t>
            </w:r>
          </w:p>
        </w:tc>
      </w:tr>
      <w:tr w:rsidR="00025781" w:rsidRPr="00A12F11" w14:paraId="2A34BAD8" w14:textId="77777777" w:rsidTr="00EF37DA">
        <w:tc>
          <w:tcPr>
            <w:tcW w:w="2986" w:type="dxa"/>
            <w:tcBorders>
              <w:bottom w:val="single" w:sz="4" w:space="0" w:color="auto"/>
            </w:tcBorders>
          </w:tcPr>
          <w:p w14:paraId="382A3F8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приобретенная при   первичном размещении</w:t>
            </w:r>
          </w:p>
        </w:tc>
        <w:tc>
          <w:tcPr>
            <w:tcW w:w="7118" w:type="dxa"/>
            <w:tcBorders>
              <w:bottom w:val="single" w:sz="4" w:space="0" w:color="auto"/>
            </w:tcBorders>
          </w:tcPr>
          <w:p w14:paraId="47D421D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Указанная цена используется до появления цен 1-го уровня, но не более 10 рабочих дней с даты размещения включительно. </w:t>
            </w:r>
          </w:p>
          <w:p w14:paraId="3023225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российских рублях, в качестве безрисковой ставки используется ставка КБД на срок, соответствующий оставшемуся сроку до погашения (оферты) ценной бумаги, округленная до 2-ух знаков после запятой;</w:t>
            </w:r>
          </w:p>
          <w:p w14:paraId="4EE9AA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иностранной валюте, в качестве безрисковой ставки используется ставка доходности по государственным ценным бумагам, страны риска, по данным ИС Bloomberg.</w:t>
            </w:r>
          </w:p>
          <w:p w14:paraId="752F148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По истечении 10 дней применяется общий порядок оценки ценных бумаг на втором и третьем уровне, в случае отсутствия цен 1-го уровня.</w:t>
            </w:r>
          </w:p>
        </w:tc>
      </w:tr>
      <w:tr w:rsidR="00025781" w:rsidRPr="00A12F11" w14:paraId="63EBEEFD" w14:textId="77777777" w:rsidTr="00EF37DA">
        <w:tc>
          <w:tcPr>
            <w:tcW w:w="10104" w:type="dxa"/>
            <w:gridSpan w:val="2"/>
            <w:tcBorders>
              <w:left w:val="nil"/>
              <w:bottom w:val="single" w:sz="4" w:space="0" w:color="auto"/>
              <w:right w:val="nil"/>
            </w:tcBorders>
          </w:tcPr>
          <w:p w14:paraId="06BF13B0" w14:textId="77777777" w:rsidR="00025781" w:rsidRPr="00A12F11" w:rsidRDefault="00025781" w:rsidP="00A12F11">
            <w:pPr>
              <w:spacing w:before="240" w:line="276" w:lineRule="auto"/>
              <w:jc w:val="both"/>
              <w:rPr>
                <w:rFonts w:ascii="Times New Roman" w:hAnsi="Times New Roman"/>
                <w:b/>
                <w:i/>
                <w:iCs/>
                <w:color w:val="C45911" w:themeColor="accent2" w:themeShade="BF"/>
                <w:sz w:val="24"/>
                <w:szCs w:val="24"/>
              </w:rPr>
            </w:pPr>
          </w:p>
          <w:p w14:paraId="4BC872E1" w14:textId="70F017E1"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не определяется активный рынок и отсутствуют наблюдаемые данные (3-й уровень)</w:t>
            </w:r>
          </w:p>
        </w:tc>
      </w:tr>
      <w:tr w:rsidR="00025781" w:rsidRPr="00A12F11" w14:paraId="473C2380" w14:textId="77777777" w:rsidTr="00EF37DA">
        <w:tc>
          <w:tcPr>
            <w:tcW w:w="2986" w:type="dxa"/>
            <w:shd w:val="clear" w:color="auto" w:fill="A6A6A6" w:themeFill="background1" w:themeFillShade="A6"/>
          </w:tcPr>
          <w:p w14:paraId="6D3C442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3C0FDA72"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358BDF6B" w14:textId="77777777" w:rsidTr="00EF37DA">
        <w:tc>
          <w:tcPr>
            <w:tcW w:w="2986" w:type="dxa"/>
          </w:tcPr>
          <w:p w14:paraId="692AC86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eastAsia="Times New Roman" w:hAnsi="Times New Roman"/>
                <w:b/>
                <w:color w:val="000000"/>
                <w:sz w:val="24"/>
                <w:szCs w:val="24"/>
              </w:rPr>
              <w:t>Облигации российских эмитентов (за исключением облигаций внешних облигационных займов)</w:t>
            </w:r>
          </w:p>
        </w:tc>
        <w:tc>
          <w:tcPr>
            <w:tcW w:w="7118" w:type="dxa"/>
          </w:tcPr>
          <w:p w14:paraId="29570EA1"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w:t>
            </w:r>
            <w:r w:rsidRPr="00A12F11">
              <w:rPr>
                <w:rFonts w:ascii="Times New Roman" w:eastAsia="Times New Roman" w:hAnsi="Times New Roman"/>
                <w:color w:val="000000"/>
                <w:sz w:val="24"/>
                <w:szCs w:val="24"/>
              </w:rPr>
              <w:t xml:space="preserve"> используются следующие цены в следующем  порядке (убывания приоритета): </w:t>
            </w:r>
          </w:p>
          <w:p w14:paraId="0BD90FF5"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2145D8D6"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0F9C5160"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в случае, если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7AEA9C39" w14:textId="06A1B1A5"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w:t>
            </w:r>
            <w:r w:rsidR="006A0495" w:rsidRPr="00A12F11">
              <w:rPr>
                <w:rFonts w:ascii="Times New Roman" w:eastAsia="Times New Roman" w:hAnsi="Times New Roman"/>
                <w:color w:val="000000"/>
                <w:sz w:val="24"/>
                <w:szCs w:val="24"/>
              </w:rPr>
              <w:t xml:space="preserve"> бумаг, номинированных в рублях</w:t>
            </w:r>
            <w:r w:rsidRPr="00A12F11">
              <w:rPr>
                <w:rFonts w:ascii="Times New Roman" w:eastAsia="Times New Roman" w:hAnsi="Times New Roman"/>
                <w:color w:val="000000"/>
                <w:sz w:val="24"/>
                <w:szCs w:val="24"/>
              </w:rPr>
              <w:t xml:space="preserve"> </w:t>
            </w:r>
            <w:r w:rsidRPr="00A12F11">
              <w:rPr>
                <w:rFonts w:ascii="Times New Roman" w:eastAsia="Times New Roman" w:hAnsi="Times New Roman"/>
                <w:b/>
                <w:color w:val="000000"/>
                <w:sz w:val="24"/>
                <w:szCs w:val="24"/>
              </w:rPr>
              <w:t>(модель оценки относится ко третьему уровню цен, в случае использования ненаблюдаемых исходных данных).</w:t>
            </w:r>
          </w:p>
          <w:p w14:paraId="15783A6F" w14:textId="77777777"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0667463" w14:textId="0A54F09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A12F11">
                <w:rPr>
                  <w:rStyle w:val="aff4"/>
                  <w:rFonts w:ascii="Times New Roman" w:hAnsi="Times New Roman"/>
                  <w:sz w:val="24"/>
                  <w:szCs w:val="24"/>
                </w:rPr>
                <w:t xml:space="preserve">Приложением </w:t>
              </w:r>
            </w:hyperlink>
            <w:r w:rsidR="00BA37E2" w:rsidRPr="00A12F11">
              <w:rPr>
                <w:rStyle w:val="aff4"/>
                <w:rFonts w:ascii="Times New Roman" w:hAnsi="Times New Roman"/>
                <w:sz w:val="24"/>
                <w:szCs w:val="24"/>
              </w:rPr>
              <w:t>5</w:t>
            </w:r>
            <w:r w:rsidRPr="00A12F11">
              <w:rPr>
                <w:rFonts w:ascii="Times New Roman" w:hAnsi="Times New Roman"/>
                <w:sz w:val="24"/>
                <w:szCs w:val="24"/>
              </w:rPr>
              <w:t>.</w:t>
            </w:r>
          </w:p>
        </w:tc>
      </w:tr>
      <w:tr w:rsidR="00025781" w:rsidRPr="00A12F11" w14:paraId="205C6065" w14:textId="77777777" w:rsidTr="00EF37DA">
        <w:trPr>
          <w:trHeight w:val="2400"/>
        </w:trPr>
        <w:tc>
          <w:tcPr>
            <w:tcW w:w="2986" w:type="dxa"/>
            <w:tcBorders>
              <w:bottom w:val="single" w:sz="4" w:space="0" w:color="auto"/>
            </w:tcBorders>
          </w:tcPr>
          <w:p w14:paraId="5206E376"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 xml:space="preserve">Облигация внешних облигационных займов Российской Федерации </w:t>
            </w:r>
          </w:p>
          <w:p w14:paraId="6D510CAB"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595FDE0D"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 xml:space="preserve">Долговая ценная бумага иностранных государств </w:t>
            </w:r>
          </w:p>
          <w:p w14:paraId="4DD68225"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94BB516"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Еврооблигация иностранного эмитента</w:t>
            </w:r>
          </w:p>
          <w:p w14:paraId="286ED932"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F8F2297" w14:textId="77777777" w:rsidR="00025781" w:rsidRPr="00A12F11" w:rsidRDefault="00025781" w:rsidP="00A12F11">
            <w:pPr>
              <w:pStyle w:val="ac"/>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Ценная бумага международной финансовой организации</w:t>
            </w:r>
          </w:p>
          <w:p w14:paraId="712EC302" w14:textId="77777777" w:rsidR="00025781" w:rsidRPr="00A12F11" w:rsidRDefault="00025781" w:rsidP="00A12F11">
            <w:pPr>
              <w:pStyle w:val="ac"/>
              <w:spacing w:before="240" w:line="276" w:lineRule="auto"/>
              <w:ind w:left="426" w:hanging="426"/>
              <w:jc w:val="both"/>
              <w:rPr>
                <w:rFonts w:ascii="Times New Roman" w:hAnsi="Times New Roman"/>
                <w:b/>
                <w:sz w:val="24"/>
                <w:szCs w:val="24"/>
              </w:rPr>
            </w:pPr>
          </w:p>
          <w:p w14:paraId="29FC20DC"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b/>
                <w:sz w:val="24"/>
                <w:szCs w:val="24"/>
              </w:rPr>
              <w:t>Долговые ценные бумаги иностранных эмитентов</w:t>
            </w:r>
            <w:r w:rsidRPr="00A12F11" w:rsidDel="00591002">
              <w:rPr>
                <w:rFonts w:ascii="Times New Roman" w:hAnsi="Times New Roman"/>
                <w:sz w:val="24"/>
                <w:szCs w:val="24"/>
              </w:rPr>
              <w:t xml:space="preserve"> </w:t>
            </w:r>
          </w:p>
        </w:tc>
        <w:tc>
          <w:tcPr>
            <w:tcW w:w="7118" w:type="dxa"/>
            <w:tcBorders>
              <w:bottom w:val="single" w:sz="4" w:space="0" w:color="auto"/>
            </w:tcBorders>
          </w:tcPr>
          <w:p w14:paraId="4885589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Для</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определения справедливой стоимости</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 xml:space="preserve">используются следующие цены в следующем порядке (убывания приоритета) </w:t>
            </w:r>
          </w:p>
          <w:p w14:paraId="3EA442F7"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sidRPr="00A12F11">
              <w:rPr>
                <w:rFonts w:ascii="Times New Roman" w:eastAsia="Times New Roman" w:hAnsi="Times New Roman"/>
                <w:color w:val="000000"/>
                <w:sz w:val="24"/>
                <w:szCs w:val="24"/>
                <w:lang w:val="en-US"/>
              </w:rPr>
              <w:t>Score</w:t>
            </w:r>
            <w:r w:rsidRPr="00A12F11">
              <w:rPr>
                <w:rFonts w:ascii="Times New Roman" w:eastAsia="Times New Roman" w:hAnsi="Times New Roman"/>
                <w:color w:val="000000"/>
                <w:sz w:val="24"/>
                <w:szCs w:val="24"/>
              </w:rPr>
              <w:t xml:space="preserve">  по указанной цене ниже 6;</w:t>
            </w:r>
          </w:p>
          <w:p w14:paraId="3EA9DAB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при условии, что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1538884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4D0F7EA"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FC3A9F8" w14:textId="66292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BA37E2" w:rsidRPr="00A12F11">
              <w:rPr>
                <w:rFonts w:ascii="Times New Roman" w:hAnsi="Times New Roman"/>
                <w:sz w:val="24"/>
                <w:szCs w:val="24"/>
              </w:rPr>
              <w:t>Приложением 5</w:t>
            </w:r>
            <w:r w:rsidRPr="00A12F11">
              <w:rPr>
                <w:rFonts w:ascii="Times New Roman" w:hAnsi="Times New Roman"/>
                <w:sz w:val="24"/>
                <w:szCs w:val="24"/>
              </w:rPr>
              <w:t>.</w:t>
            </w:r>
          </w:p>
        </w:tc>
      </w:tr>
      <w:tr w:rsidR="00025781" w:rsidRPr="00A12F11" w14:paraId="73E0D2EE" w14:textId="77777777" w:rsidTr="00EF37DA">
        <w:tc>
          <w:tcPr>
            <w:tcW w:w="2986" w:type="dxa"/>
            <w:tcBorders>
              <w:bottom w:val="nil"/>
            </w:tcBorders>
            <w:shd w:val="clear" w:color="auto" w:fill="FFFFFF" w:themeFill="background1"/>
          </w:tcPr>
          <w:p w14:paraId="2C7D8B1D"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4D70EA28"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12EAB93E" w14:textId="674E99D8" w:rsidR="00025781" w:rsidRPr="00A12F11" w:rsidRDefault="00025781" w:rsidP="00A12F11">
            <w:pPr>
              <w:pStyle w:val="ac"/>
              <w:spacing w:before="240" w:line="276" w:lineRule="auto"/>
              <w:ind w:left="426" w:hanging="426"/>
              <w:jc w:val="both"/>
              <w:rPr>
                <w:rFonts w:ascii="Times New Roman" w:hAnsi="Times New Roman"/>
                <w:i/>
                <w:sz w:val="24"/>
                <w:szCs w:val="24"/>
              </w:rPr>
            </w:pPr>
            <w:r w:rsidRPr="00A12F11">
              <w:rPr>
                <w:rFonts w:ascii="Times New Roman" w:hAnsi="Times New Roman"/>
                <w:b/>
                <w:sz w:val="24"/>
                <w:szCs w:val="24"/>
              </w:rPr>
              <w:t>Ценные бумаги, для которых отсутствуют возможность оценки с использованием данных более высокого приоритета</w:t>
            </w:r>
          </w:p>
        </w:tc>
        <w:tc>
          <w:tcPr>
            <w:tcW w:w="7118" w:type="dxa"/>
            <w:tcBorders>
              <w:bottom w:val="nil"/>
            </w:tcBorders>
            <w:shd w:val="clear" w:color="auto" w:fill="FFFFFF" w:themeFill="background1"/>
          </w:tcPr>
          <w:p w14:paraId="7BCF52CE" w14:textId="77777777" w:rsidR="00711E39" w:rsidRPr="00A12F11" w:rsidRDefault="00711E39" w:rsidP="00A12F11">
            <w:pPr>
              <w:pStyle w:val="ac"/>
              <w:spacing w:before="240" w:line="276" w:lineRule="auto"/>
              <w:ind w:left="426" w:hanging="426"/>
              <w:jc w:val="both"/>
              <w:rPr>
                <w:rFonts w:ascii="Times New Roman" w:hAnsi="Times New Roman"/>
                <w:sz w:val="24"/>
                <w:szCs w:val="24"/>
              </w:rPr>
            </w:pPr>
          </w:p>
          <w:p w14:paraId="51D13BFD" w14:textId="7FD3CF94"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62F74927" w14:textId="36703BA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A12F11">
                <w:rPr>
                  <w:rFonts w:ascii="Times New Roman" w:hAnsi="Times New Roman"/>
                  <w:sz w:val="24"/>
                  <w:szCs w:val="24"/>
                </w:rPr>
                <w:t xml:space="preserve">Приложением </w:t>
              </w:r>
            </w:hyperlink>
            <w:r w:rsidR="00BA37E2" w:rsidRPr="00A12F11">
              <w:rPr>
                <w:rFonts w:ascii="Times New Roman" w:hAnsi="Times New Roman"/>
                <w:sz w:val="24"/>
                <w:szCs w:val="24"/>
              </w:rPr>
              <w:t>5</w:t>
            </w:r>
            <w:r w:rsidRPr="00A12F11">
              <w:rPr>
                <w:rFonts w:ascii="Times New Roman" w:hAnsi="Times New Roman"/>
                <w:sz w:val="24"/>
                <w:szCs w:val="24"/>
              </w:rPr>
              <w:t>.</w:t>
            </w:r>
          </w:p>
          <w:p w14:paraId="43BE3AC1" w14:textId="77777777" w:rsidR="00025781" w:rsidRPr="00A12F11" w:rsidRDefault="00025781" w:rsidP="00A12F11">
            <w:pPr>
              <w:pStyle w:val="ac"/>
              <w:spacing w:before="240" w:line="276" w:lineRule="auto"/>
              <w:ind w:left="426" w:hanging="426"/>
              <w:jc w:val="both"/>
              <w:rPr>
                <w:rFonts w:ascii="Times New Roman" w:hAnsi="Times New Roman"/>
                <w:i/>
                <w:sz w:val="24"/>
                <w:szCs w:val="24"/>
              </w:rPr>
            </w:pPr>
          </w:p>
        </w:tc>
      </w:tr>
      <w:tr w:rsidR="00025781" w:rsidRPr="00A12F11" w:rsidDel="00F42424" w14:paraId="536DF5A6" w14:textId="77777777" w:rsidTr="00EF37DA">
        <w:tc>
          <w:tcPr>
            <w:tcW w:w="10104" w:type="dxa"/>
            <w:gridSpan w:val="2"/>
            <w:tcBorders>
              <w:top w:val="nil"/>
              <w:bottom w:val="single" w:sz="4" w:space="0" w:color="auto"/>
            </w:tcBorders>
            <w:shd w:val="clear" w:color="auto" w:fill="auto"/>
          </w:tcPr>
          <w:p w14:paraId="1308E5FB" w14:textId="77777777" w:rsidR="00025781" w:rsidRPr="00A12F11" w:rsidRDefault="00025781" w:rsidP="00A12F11">
            <w:pPr>
              <w:pStyle w:val="ac"/>
              <w:spacing w:before="240" w:line="276" w:lineRule="auto"/>
              <w:ind w:left="426" w:hanging="426"/>
              <w:jc w:val="both"/>
              <w:rPr>
                <w:rFonts w:ascii="Times New Roman" w:hAnsi="Times New Roman"/>
                <w:bCs/>
                <w:iCs/>
                <w:color w:val="000000" w:themeColor="text1"/>
                <w:sz w:val="24"/>
                <w:szCs w:val="24"/>
              </w:rPr>
            </w:pPr>
          </w:p>
          <w:p w14:paraId="576B88DA" w14:textId="77777777" w:rsidR="00025781" w:rsidRPr="00A12F11" w:rsidRDefault="00025781" w:rsidP="00A12F11">
            <w:pPr>
              <w:pStyle w:val="ac"/>
              <w:spacing w:before="240" w:line="276" w:lineRule="auto"/>
              <w:ind w:left="426" w:hanging="426"/>
              <w:jc w:val="both"/>
              <w:rPr>
                <w:rFonts w:ascii="Times New Roman" w:hAnsi="Times New Roman"/>
                <w:color w:val="000000" w:themeColor="text1"/>
                <w:sz w:val="24"/>
                <w:szCs w:val="24"/>
              </w:rPr>
            </w:pPr>
            <w:r w:rsidRPr="00A12F11">
              <w:rPr>
                <w:rFonts w:ascii="Times New Roman" w:hAnsi="Times New Roman"/>
                <w:bCs/>
                <w:iCs/>
                <w:color w:val="000000" w:themeColor="text1"/>
                <w:sz w:val="24"/>
                <w:szCs w:val="24"/>
              </w:rPr>
              <w:t>Модели оценки стоимости ценных бумаг, по которым определен аналогичный актив</w:t>
            </w:r>
          </w:p>
        </w:tc>
      </w:tr>
      <w:tr w:rsidR="00025781" w:rsidRPr="00A12F11" w:rsidDel="00F42424" w14:paraId="1E34EC19" w14:textId="77777777" w:rsidTr="00EF37DA">
        <w:tc>
          <w:tcPr>
            <w:tcW w:w="2986" w:type="dxa"/>
            <w:shd w:val="clear" w:color="auto" w:fill="A6A6A6" w:themeFill="background1" w:themeFillShade="A6"/>
          </w:tcPr>
          <w:p w14:paraId="3C75D512"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sidDel="00F42424">
              <w:rPr>
                <w:rFonts w:ascii="Times New Roman" w:hAnsi="Times New Roman"/>
                <w:b/>
                <w:i/>
                <w:sz w:val="24"/>
                <w:szCs w:val="24"/>
              </w:rPr>
              <w:t>Ценные бумаги</w:t>
            </w:r>
          </w:p>
        </w:tc>
        <w:tc>
          <w:tcPr>
            <w:tcW w:w="7118" w:type="dxa"/>
            <w:shd w:val="clear" w:color="auto" w:fill="A6A6A6" w:themeFill="background1" w:themeFillShade="A6"/>
          </w:tcPr>
          <w:p w14:paraId="0F7BDF5F"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rsidDel="00F42424" w14:paraId="45B494F2" w14:textId="77777777" w:rsidTr="00EF37DA">
        <w:tc>
          <w:tcPr>
            <w:tcW w:w="2986" w:type="dxa"/>
          </w:tcPr>
          <w:p w14:paraId="6F52317A" w14:textId="77777777" w:rsidR="00025781" w:rsidRPr="00A12F11" w:rsidDel="00F42424" w:rsidRDefault="00025781" w:rsidP="00A12F11">
            <w:pPr>
              <w:pStyle w:val="ac"/>
              <w:spacing w:before="240" w:line="276" w:lineRule="auto"/>
              <w:ind w:left="426" w:hanging="426"/>
              <w:jc w:val="both"/>
              <w:rPr>
                <w:rFonts w:ascii="Times New Roman" w:hAnsi="Times New Roman"/>
                <w:sz w:val="24"/>
                <w:szCs w:val="24"/>
              </w:rPr>
            </w:pPr>
            <w:r w:rsidRPr="00A12F11" w:rsidDel="00F42424">
              <w:rPr>
                <w:rFonts w:ascii="Times New Roman" w:hAnsi="Times New Roman"/>
                <w:sz w:val="24"/>
                <w:szCs w:val="24"/>
              </w:rPr>
              <w:t>Ценная бумага является дополнительным выпуском</w:t>
            </w:r>
          </w:p>
        </w:tc>
        <w:tc>
          <w:tcPr>
            <w:tcW w:w="7118" w:type="dxa"/>
          </w:tcPr>
          <w:p w14:paraId="3F411094"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r w:rsidRPr="00A12F11">
              <w:rPr>
                <w:rFonts w:ascii="Times New Roman" w:eastAsia="Times New Roman" w:hAnsi="Times New Roman"/>
                <w:iCs/>
                <w:sz w:val="24"/>
                <w:szCs w:val="24"/>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A12F11" w:rsidDel="00F42424">
              <w:rPr>
                <w:rFonts w:ascii="Times New Roman" w:eastAsia="Times New Roman" w:hAnsi="Times New Roman"/>
                <w:iCs/>
                <w:sz w:val="24"/>
                <w:szCs w:val="24"/>
              </w:rPr>
              <w:t xml:space="preserve">, на </w:t>
            </w:r>
            <w:r w:rsidRPr="00A12F11">
              <w:rPr>
                <w:rFonts w:ascii="Times New Roman" w:eastAsia="Times New Roman" w:hAnsi="Times New Roman"/>
                <w:iCs/>
                <w:sz w:val="24"/>
                <w:szCs w:val="24"/>
              </w:rPr>
              <w:t>дату определения СЧА</w:t>
            </w:r>
            <w:r w:rsidRPr="00A12F11" w:rsidDel="00F42424">
              <w:rPr>
                <w:rFonts w:ascii="Times New Roman" w:eastAsia="Times New Roman" w:hAnsi="Times New Roman"/>
                <w:iCs/>
                <w:sz w:val="24"/>
                <w:szCs w:val="24"/>
              </w:rPr>
              <w:t xml:space="preserve"> в соответствии с моделям оценки стоимости ценных бумаг, для которых  определен активный рынок</w:t>
            </w:r>
            <w:r w:rsidRPr="00A12F11">
              <w:rPr>
                <w:rFonts w:ascii="Times New Roman" w:eastAsia="Times New Roman" w:hAnsi="Times New Roman"/>
                <w:iCs/>
                <w:sz w:val="24"/>
                <w:szCs w:val="24"/>
              </w:rPr>
              <w:t>.</w:t>
            </w:r>
          </w:p>
          <w:p w14:paraId="3E25CFF6"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p>
          <w:p w14:paraId="4BA7F42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w:t>
            </w:r>
            <w:r w:rsidRPr="00A12F11" w:rsidDel="00F42424">
              <w:rPr>
                <w:rFonts w:ascii="Times New Roman" w:eastAsia="Times New Roman" w:hAnsi="Times New Roman"/>
                <w:iCs/>
                <w:sz w:val="24"/>
                <w:szCs w:val="24"/>
              </w:rPr>
              <w:t xml:space="preserve"> до возникновения справедливой стоимости </w:t>
            </w:r>
            <w:r w:rsidRPr="00A12F11">
              <w:rPr>
                <w:rFonts w:ascii="Times New Roman" w:eastAsia="Times New Roman" w:hAnsi="Times New Roman"/>
                <w:iCs/>
                <w:sz w:val="24"/>
                <w:szCs w:val="24"/>
              </w:rPr>
              <w:t>ценной бумаги,</w:t>
            </w:r>
            <w:r w:rsidRPr="00A12F11" w:rsidDel="00F42424">
              <w:rPr>
                <w:rFonts w:ascii="Times New Roman" w:eastAsia="Times New Roman" w:hAnsi="Times New Roman"/>
                <w:iCs/>
                <w:sz w:val="24"/>
                <w:szCs w:val="24"/>
              </w:rPr>
              <w:t xml:space="preserve"> </w:t>
            </w:r>
            <w:r w:rsidRPr="00A12F11" w:rsidDel="00F42424">
              <w:rPr>
                <w:rFonts w:ascii="Times New Roman" w:hAnsi="Times New Roman"/>
                <w:sz w:val="24"/>
                <w:szCs w:val="24"/>
              </w:rPr>
              <w:t>явля</w:t>
            </w:r>
            <w:r w:rsidRPr="00A12F11">
              <w:rPr>
                <w:rFonts w:ascii="Times New Roman" w:hAnsi="Times New Roman"/>
                <w:sz w:val="24"/>
                <w:szCs w:val="24"/>
              </w:rPr>
              <w:t xml:space="preserve">ющейся </w:t>
            </w:r>
            <w:r w:rsidRPr="00A12F11" w:rsidDel="00F42424">
              <w:rPr>
                <w:rFonts w:ascii="Times New Roman" w:hAnsi="Times New Roman"/>
                <w:sz w:val="24"/>
                <w:szCs w:val="24"/>
              </w:rPr>
              <w:t>дополнительным выпуском</w:t>
            </w:r>
            <w:r w:rsidRPr="00A12F11" w:rsidDel="00F42424">
              <w:rPr>
                <w:rFonts w:ascii="Times New Roman" w:eastAsia="Times New Roman" w:hAnsi="Times New Roman"/>
                <w:iCs/>
                <w:sz w:val="24"/>
                <w:szCs w:val="24"/>
              </w:rPr>
              <w:t>.</w:t>
            </w:r>
          </w:p>
          <w:p w14:paraId="054F13BB" w14:textId="77777777" w:rsidR="00025781" w:rsidRPr="00A12F11" w:rsidDel="00F42424" w:rsidRDefault="00025781" w:rsidP="00A12F11">
            <w:pPr>
              <w:spacing w:before="240" w:line="276" w:lineRule="auto"/>
              <w:ind w:left="426" w:hanging="426"/>
              <w:jc w:val="both"/>
              <w:rPr>
                <w:rFonts w:ascii="Times New Roman" w:hAnsi="Times New Roman"/>
                <w:sz w:val="24"/>
                <w:szCs w:val="24"/>
              </w:rPr>
            </w:pPr>
          </w:p>
        </w:tc>
      </w:tr>
      <w:tr w:rsidR="00025781" w:rsidRPr="00A12F11" w:rsidDel="00F42424" w14:paraId="5B80E7C0" w14:textId="77777777" w:rsidTr="00EF37DA">
        <w:tc>
          <w:tcPr>
            <w:tcW w:w="2986" w:type="dxa"/>
          </w:tcPr>
          <w:p w14:paraId="3BC2E19B" w14:textId="77777777" w:rsidR="00025781" w:rsidRPr="00A12F11" w:rsidDel="00F42424"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eastAsia="Times New Roman" w:hAnsi="Times New Roman"/>
                <w:iCs/>
                <w:sz w:val="24"/>
                <w:szCs w:val="24"/>
              </w:rPr>
              <w:t>Ц</w:t>
            </w:r>
            <w:r w:rsidRPr="00A12F11" w:rsidDel="00F42424">
              <w:rPr>
                <w:rFonts w:ascii="Times New Roman" w:eastAsia="Times New Roman" w:hAnsi="Times New Roman"/>
                <w:iCs/>
                <w:sz w:val="24"/>
                <w:szCs w:val="24"/>
              </w:rPr>
              <w:t>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бумаг</w:t>
            </w:r>
            <w:r w:rsidRPr="00A12F11">
              <w:rPr>
                <w:rFonts w:ascii="Times New Roman" w:eastAsia="Times New Roman" w:hAnsi="Times New Roman"/>
                <w:iCs/>
                <w:sz w:val="24"/>
                <w:szCs w:val="24"/>
              </w:rPr>
              <w:t>а</w:t>
            </w:r>
            <w:r w:rsidRPr="00A12F11" w:rsidDel="00F42424">
              <w:rPr>
                <w:rFonts w:ascii="Times New Roman" w:eastAsia="Times New Roman" w:hAnsi="Times New Roman"/>
                <w:iCs/>
                <w:sz w:val="24"/>
                <w:szCs w:val="24"/>
              </w:rPr>
              <w:t>, полученн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в результате конвертации в нее другой ценной бумаги (исходной ценной бумаги)</w:t>
            </w:r>
          </w:p>
        </w:tc>
        <w:tc>
          <w:tcPr>
            <w:tcW w:w="7118" w:type="dxa"/>
          </w:tcPr>
          <w:p w14:paraId="3E55BB0B" w14:textId="77777777" w:rsidR="00025781" w:rsidRPr="00A12F11"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sidDel="00F42424">
              <w:rPr>
                <w:rFonts w:ascii="Times New Roman" w:hAnsi="Times New Roman" w:cs="Times New Roman"/>
                <w:iCs/>
                <w:sz w:val="24"/>
                <w:szCs w:val="24"/>
              </w:rPr>
              <w:t xml:space="preserve"> Для оценки ценной бумаги, используется цена исходной ценной бумаги, определенная на </w:t>
            </w:r>
            <w:r w:rsidRPr="00A12F11">
              <w:rPr>
                <w:rFonts w:ascii="Times New Roman" w:hAnsi="Times New Roman" w:cs="Times New Roman"/>
                <w:iCs/>
                <w:sz w:val="24"/>
                <w:szCs w:val="24"/>
              </w:rPr>
              <w:t>дату определения СЧА</w:t>
            </w:r>
            <w:r w:rsidRPr="00A12F11" w:rsidDel="00F42424">
              <w:rPr>
                <w:rFonts w:ascii="Times New Roman" w:hAnsi="Times New Roman" w:cs="Times New Roman"/>
                <w:iCs/>
                <w:sz w:val="24"/>
                <w:szCs w:val="24"/>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14:paraId="79F576A0" w14:textId="77777777" w:rsidR="00025781" w:rsidRPr="00A12F11" w:rsidDel="00F42424"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Pr>
                <w:rFonts w:ascii="Times New Roman" w:hAnsi="Times New Roman" w:cs="Times New Roman"/>
                <w:iCs/>
                <w:sz w:val="24"/>
                <w:szCs w:val="24"/>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14:paraId="58D4CBF7"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 на дату конвертации. Со следующей даты применяется общий порядок оценки.</w:t>
            </w:r>
            <w:r w:rsidRPr="00A12F11" w:rsidDel="00F42424">
              <w:rPr>
                <w:rFonts w:ascii="Times New Roman" w:eastAsia="Times New Roman" w:hAnsi="Times New Roman"/>
                <w:iCs/>
                <w:sz w:val="24"/>
                <w:szCs w:val="24"/>
              </w:rPr>
              <w:t xml:space="preserve"> </w:t>
            </w:r>
          </w:p>
          <w:p w14:paraId="76A195A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p>
          <w:p w14:paraId="2FF7EA9C"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A12F11">
              <w:rPr>
                <w:rFonts w:ascii="Times New Roman" w:eastAsia="Times New Roman" w:hAnsi="Times New Roman"/>
                <w:iCs/>
                <w:sz w:val="24"/>
                <w:szCs w:val="24"/>
              </w:rPr>
              <w:t>ть конвертированных в них акций.</w:t>
            </w:r>
          </w:p>
          <w:p w14:paraId="54F037B7"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1E96478A"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6434DBB" w14:textId="77777777" w:rsidR="00025781" w:rsidRPr="00A12F11" w:rsidDel="00F42424"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5F09B52E"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2789309"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36AD7445"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7525727"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6CE65612" w14:textId="77777777" w:rsidR="00025781" w:rsidRPr="00A12F11" w:rsidDel="00F42424" w:rsidRDefault="00025781" w:rsidP="00A12F11">
            <w:pPr>
              <w:pStyle w:val="ac"/>
              <w:numPr>
                <w:ilvl w:val="0"/>
                <w:numId w:val="6"/>
              </w:numPr>
              <w:spacing w:before="240" w:line="276" w:lineRule="auto"/>
              <w:ind w:left="426" w:hanging="426"/>
              <w:jc w:val="both"/>
              <w:rPr>
                <w:rFonts w:ascii="Times New Roman" w:hAnsi="Times New Roman"/>
                <w:sz w:val="24"/>
                <w:szCs w:val="24"/>
              </w:rPr>
            </w:pPr>
            <w:r w:rsidRPr="00A12F11" w:rsidDel="00F42424">
              <w:rPr>
                <w:rFonts w:ascii="Times New Roman" w:eastAsia="Times New Roman" w:hAnsi="Times New Roman"/>
                <w:iCs/>
                <w:sz w:val="24"/>
                <w:szCs w:val="24"/>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7B478A49"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291150C"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bookmarkStart w:id="3" w:name="_MON_1573054273"/>
      <w:bookmarkEnd w:id="3"/>
      <w:r w:rsidRPr="00A12F11">
        <w:rPr>
          <w:rFonts w:ascii="Times New Roman" w:eastAsia="Times New Roman" w:hAnsi="Times New Roman" w:cs="Times New Roman"/>
          <w:sz w:val="24"/>
          <w:szCs w:val="24"/>
          <w:lang w:eastAsia="ru-RU"/>
        </w:rPr>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14:paraId="12E13106"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ценной бумаги признается равной 0 (Ноль), с даты официального опубликования решения о банкротстве эмитента. </w:t>
      </w:r>
    </w:p>
    <w:p w14:paraId="6422677B"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16E8C249" w14:textId="78311856"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В случае положительной разницы, сдел</w:t>
      </w:r>
      <w:r w:rsidR="0065798E" w:rsidRPr="00A12F11">
        <w:rPr>
          <w:rFonts w:ascii="Times New Roman" w:eastAsia="Batang" w:hAnsi="Times New Roman" w:cs="Times New Roman"/>
          <w:color w:val="000000"/>
          <w:sz w:val="24"/>
          <w:szCs w:val="24"/>
        </w:rPr>
        <w:t>ка признается в составе активов  (</w:t>
      </w:r>
      <w:r w:rsidRPr="00A12F11">
        <w:rPr>
          <w:rFonts w:ascii="Times New Roman" w:eastAsia="Batang" w:hAnsi="Times New Roman" w:cs="Times New Roman"/>
          <w:color w:val="000000"/>
          <w:sz w:val="24"/>
          <w:szCs w:val="24"/>
        </w:rPr>
        <w:t>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A7233DF" w14:textId="0E7F84F8"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Справедливая стоимость дебиторской задолженности,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(Приложение </w:t>
      </w:r>
      <w:r w:rsidR="0065798E" w:rsidRPr="00A12F11">
        <w:rPr>
          <w:rFonts w:ascii="Times New Roman" w:eastAsia="Batang" w:hAnsi="Times New Roman" w:cs="Times New Roman"/>
          <w:color w:val="000000"/>
          <w:sz w:val="24"/>
          <w:szCs w:val="24"/>
        </w:rPr>
        <w:t>5</w:t>
      </w:r>
      <w:r w:rsidRPr="00A12F11">
        <w:rPr>
          <w:rFonts w:ascii="Times New Roman" w:eastAsia="Batang" w:hAnsi="Times New Roman" w:cs="Times New Roman"/>
          <w:color w:val="000000"/>
          <w:sz w:val="24"/>
          <w:szCs w:val="24"/>
        </w:rPr>
        <w:t xml:space="preserve">). </w:t>
      </w:r>
    </w:p>
    <w:p w14:paraId="52154487"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14:paraId="14F2E06A" w14:textId="77777777"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55BFD3A9" w14:textId="5B2E264B" w:rsidR="002E656C" w:rsidRPr="00A12F11" w:rsidRDefault="00025781"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Batang" w:hAnsi="Times New Roman" w:cs="Times New Roman"/>
          <w:color w:val="000000"/>
          <w:sz w:val="24"/>
          <w:szCs w:val="24"/>
        </w:rPr>
        <w:t xml:space="preserve">Не применяются к сделкам, заключаемым на условиях поставки против платежа со стандартными условиями </w:t>
      </w:r>
      <w:r w:rsidR="00470555" w:rsidRPr="00A12F11">
        <w:rPr>
          <w:rFonts w:ascii="Times New Roman" w:eastAsia="Batang" w:hAnsi="Times New Roman" w:cs="Times New Roman"/>
          <w:color w:val="000000"/>
          <w:sz w:val="24"/>
          <w:szCs w:val="24"/>
        </w:rPr>
        <w:t>расчетов, применяемыми</w:t>
      </w:r>
      <w:r w:rsidRPr="00A12F11">
        <w:rPr>
          <w:rFonts w:ascii="Times New Roman" w:eastAsia="Batang" w:hAnsi="Times New Roman" w:cs="Times New Roman"/>
          <w:color w:val="000000"/>
          <w:sz w:val="24"/>
          <w:szCs w:val="24"/>
        </w:rPr>
        <w:t xml:space="preserve">    организаторами   торговли с условиями поставки (платежа) в течение не более 1 (Одного) рабочего дня (T+1) от </w:t>
      </w:r>
      <w:r w:rsidR="00470555" w:rsidRPr="00A12F11">
        <w:rPr>
          <w:rFonts w:ascii="Times New Roman" w:eastAsia="Batang" w:hAnsi="Times New Roman" w:cs="Times New Roman"/>
          <w:color w:val="000000"/>
          <w:sz w:val="24"/>
          <w:szCs w:val="24"/>
        </w:rPr>
        <w:t>даты заключения</w:t>
      </w:r>
      <w:r w:rsidRPr="00A12F11">
        <w:rPr>
          <w:rFonts w:ascii="Times New Roman" w:eastAsia="Batang" w:hAnsi="Times New Roman" w:cs="Times New Roman"/>
          <w:color w:val="000000"/>
          <w:sz w:val="24"/>
          <w:szCs w:val="24"/>
        </w:rPr>
        <w:t>,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торговые дни, установленные биржевыми площадками.</w:t>
      </w:r>
    </w:p>
    <w:p w14:paraId="074E030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0F9B86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52FD0A1"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8C3708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396DD0"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4E90EA5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E0E22D"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178A570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6DF5B4D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50C7DD5"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F102A26"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A50E37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6837A9E" w14:textId="6A2DCE51" w:rsidR="00D93BF1" w:rsidRPr="00A12F11" w:rsidRDefault="00D93BF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 xml:space="preserve">Приложение 4 </w:t>
      </w:r>
    </w:p>
    <w:p w14:paraId="42AB8C2D" w14:textId="507507CE" w:rsidR="001D77FA" w:rsidRPr="00A12F11" w:rsidRDefault="001D77FA"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Метод приведенной стоимости будущих денежных потоков</w:t>
      </w:r>
    </w:p>
    <w:p w14:paraId="34B94AA5" w14:textId="77777777" w:rsidR="00F42AB2" w:rsidRPr="00A12F11" w:rsidRDefault="00F42AB2" w:rsidP="00A12F11">
      <w:pPr>
        <w:spacing w:before="240" w:line="276" w:lineRule="auto"/>
        <w:jc w:val="both"/>
        <w:rPr>
          <w:rFonts w:ascii="Times New Roman" w:hAnsi="Times New Roman" w:cs="Times New Roman"/>
          <w:sz w:val="24"/>
          <w:szCs w:val="24"/>
        </w:rPr>
      </w:pPr>
    </w:p>
    <w:p w14:paraId="4A2D75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1.1</w:t>
      </w:r>
      <w:r w:rsidRPr="00A12F11">
        <w:rPr>
          <w:rFonts w:ascii="Times New Roman" w:hAnsi="Times New Roman" w:cs="Times New Roman"/>
          <w:sz w:val="24"/>
          <w:szCs w:val="24"/>
        </w:rPr>
        <w:t>. Формула приведенной стоимости будущих денежных потоков и применение</w:t>
      </w:r>
    </w:p>
    <w:p w14:paraId="4CFD250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Приведенная стоимость будущих денежных потоков, указанная в настоящем приложении, рассчитывается для следующих активов (обязательств):</w:t>
      </w:r>
    </w:p>
    <w:p w14:paraId="2682D4D0" w14:textId="645BBAF1"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Депозиты в кредитных организациях в случаях, указанных в </w:t>
      </w:r>
      <w:r w:rsidR="00361CC8" w:rsidRPr="00A12F11">
        <w:rPr>
          <w:rFonts w:ascii="Times New Roman" w:hAnsi="Times New Roman" w:cs="Times New Roman"/>
          <w:sz w:val="24"/>
          <w:szCs w:val="24"/>
        </w:rPr>
        <w:t xml:space="preserve">Приложении </w:t>
      </w:r>
      <w:r w:rsidR="00C901C3" w:rsidRPr="00A12F11">
        <w:rPr>
          <w:rFonts w:ascii="Times New Roman" w:hAnsi="Times New Roman" w:cs="Times New Roman"/>
          <w:sz w:val="24"/>
          <w:szCs w:val="24"/>
        </w:rPr>
        <w:t>10</w:t>
      </w:r>
      <w:r w:rsidRPr="00A12F11">
        <w:rPr>
          <w:rFonts w:ascii="Times New Roman" w:hAnsi="Times New Roman" w:cs="Times New Roman"/>
          <w:sz w:val="24"/>
          <w:szCs w:val="24"/>
        </w:rPr>
        <w:t>;</w:t>
      </w:r>
    </w:p>
    <w:p w14:paraId="042B03C9" w14:textId="18940E23"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r w:rsidRPr="00A12F11">
        <w:rPr>
          <w:rFonts w:ascii="Times New Roman" w:hAnsi="Times New Roman" w:cs="Times New Roman"/>
          <w:sz w:val="24"/>
          <w:szCs w:val="24"/>
        </w:rPr>
        <w:t xml:space="preserve">Обязательства по договорам аренды полученной на срок более 1 года (долгосрочная аренда, где ПИФ - арендатор) </w:t>
      </w:r>
      <w:r w:rsidR="00361CC8" w:rsidRPr="00A12F11">
        <w:rPr>
          <w:rFonts w:ascii="Times New Roman" w:hAnsi="Times New Roman" w:cs="Times New Roman"/>
          <w:sz w:val="24"/>
          <w:szCs w:val="24"/>
        </w:rPr>
        <w:t xml:space="preserve"> (Приложение </w:t>
      </w:r>
      <w:r w:rsidR="003E1CA4" w:rsidRPr="00A12F11">
        <w:rPr>
          <w:rFonts w:ascii="Times New Roman" w:hAnsi="Times New Roman" w:cs="Times New Roman"/>
          <w:sz w:val="24"/>
          <w:szCs w:val="24"/>
        </w:rPr>
        <w:t>20</w:t>
      </w:r>
      <w:r w:rsidR="00361CC8" w:rsidRPr="00A12F11">
        <w:rPr>
          <w:rFonts w:ascii="Times New Roman" w:hAnsi="Times New Roman" w:cs="Times New Roman"/>
          <w:sz w:val="24"/>
          <w:szCs w:val="24"/>
        </w:rPr>
        <w:t>)</w:t>
      </w:r>
    </w:p>
    <w:p w14:paraId="013CEFC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9C7F3F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Формула расчёта приведенной стоимости будущих денежных потоков:</w:t>
      </w:r>
    </w:p>
    <w:p w14:paraId="26E66368" w14:textId="77777777" w:rsidR="001D77FA" w:rsidRPr="00A12F11" w:rsidRDefault="001D77FA" w:rsidP="00A12F11">
      <w:pPr>
        <w:spacing w:before="240" w:line="276" w:lineRule="auto"/>
        <w:ind w:left="426" w:hanging="426"/>
        <w:jc w:val="both"/>
        <w:rPr>
          <w:rFonts w:ascii="Times New Roman" w:hAnsi="Times New Roman" w:cs="Times New Roman"/>
          <w:b/>
          <w:i/>
          <w:sz w:val="24"/>
          <w:szCs w:val="24"/>
        </w:rPr>
      </w:pPr>
    </w:p>
    <w:p w14:paraId="6F805F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Para>
        <m:oMath>
          <m:r>
            <w:rPr>
              <w:rFonts w:ascii="Cambria Math" w:hAnsi="Cambria Math" w:cs="Times New Roman"/>
              <w:sz w:val="24"/>
              <w:szCs w:val="24"/>
            </w:rPr>
            <m:t>PV=</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p>
                    <m:sSupPr>
                      <m:ctrlPr>
                        <w:rPr>
                          <w:rFonts w:ascii="Cambria Math" w:hAnsi="Cambria Math" w:cs="Times New Roman"/>
                          <w:i/>
                          <w:sz w:val="24"/>
                          <w:szCs w:val="24"/>
                        </w:rPr>
                      </m:ctrlPr>
                    </m:sSupPr>
                    <m:e>
                      <m:r>
                        <w:rPr>
                          <w:rFonts w:ascii="Cambria Math" w:hAnsi="Cambria Math" w:cs="Times New Roman"/>
                          <w:sz w:val="24"/>
                          <w:szCs w:val="24"/>
                        </w:rPr>
                        <m:t>(1+</m:t>
                      </m:r>
                      <m:r>
                        <w:rPr>
                          <w:rFonts w:ascii="Cambria Math" w:hAnsi="Cambria Math" w:cs="Times New Roman"/>
                          <w:sz w:val="24"/>
                          <w:szCs w:val="24"/>
                          <w:lang w:val="en-US"/>
                        </w:rPr>
                        <m:t>r</m:t>
                      </m:r>
                      <m:r>
                        <w:rPr>
                          <w:rFonts w:ascii="Cambria Math" w:hAnsi="Cambria Math" w:cs="Times New Roman"/>
                          <w:sz w:val="24"/>
                          <w:szCs w:val="24"/>
                        </w:rPr>
                        <m:t>)</m:t>
                      </m:r>
                    </m:e>
                    <m:sup>
                      <m:sSub>
                        <m:sSubPr>
                          <m:ctrlPr>
                            <w:rPr>
                              <w:rFonts w:ascii="Cambria Math" w:hAnsi="Cambria Math" w:cs="Times New Roman"/>
                              <w:i/>
                              <w:sz w:val="24"/>
                              <w:szCs w:val="24"/>
                            </w:rPr>
                          </m:ctrlPr>
                        </m:sSubPr>
                        <m:e>
                          <m:r>
                            <w:rPr>
                              <w:rFonts w:ascii="Cambria Math" w:hAnsi="Cambria Math" w:cs="Times New Roman"/>
                              <w:sz w:val="24"/>
                              <w:szCs w:val="24"/>
                              <w:lang w:val="en-US"/>
                            </w:rPr>
                            <m:t>D</m:t>
                          </m:r>
                        </m:e>
                        <m:sub>
                          <m:r>
                            <w:rPr>
                              <w:rFonts w:ascii="Cambria Math" w:hAnsi="Cambria Math" w:cs="Times New Roman"/>
                              <w:sz w:val="24"/>
                              <w:szCs w:val="24"/>
                            </w:rPr>
                            <m:t>n</m:t>
                          </m:r>
                        </m:sub>
                      </m:sSub>
                      <m:r>
                        <w:rPr>
                          <w:rFonts w:ascii="Cambria Math" w:hAnsi="Cambria Math" w:cs="Times New Roman"/>
                          <w:sz w:val="24"/>
                          <w:szCs w:val="24"/>
                        </w:rPr>
                        <m:t>/365</m:t>
                      </m:r>
                    </m:sup>
                  </m:sSup>
                </m:den>
              </m:f>
            </m:e>
          </m:nary>
        </m:oMath>
      </m:oMathPara>
    </w:p>
    <w:p w14:paraId="2AE0EF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251D60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справедливая (приведенная) стоимость актива (обязательства);</w:t>
      </w:r>
    </w:p>
    <w:p w14:paraId="688D79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количество денежных потоков до даты погашения актива (обязательства), начиная с даты определения СЧА;</w:t>
      </w:r>
    </w:p>
    <w:p w14:paraId="167D055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279" w:dyaOrig="360" w14:anchorId="06B20D7D">
          <v:shape id="_x0000_i1043" type="#_x0000_t75" style="width:12pt;height:18.75pt" o:ole="">
            <v:imagedata r:id="rId47" o:title=""/>
          </v:shape>
          <o:OLEObject Type="Embed" ProgID="Equation.3" ShapeID="_x0000_i1043" DrawAspect="Content" ObjectID="_1687866619" r:id="rId48"/>
        </w:object>
      </w:r>
      <w:r w:rsidRPr="00A12F11">
        <w:rPr>
          <w:rFonts w:ascii="Times New Roman" w:hAnsi="Times New Roman" w:cs="Times New Roman"/>
          <w:sz w:val="24"/>
          <w:szCs w:val="24"/>
        </w:rPr>
        <w:t xml:space="preserve"> – сумма n-ого денежного потока (проценты и основная сумма); </w:t>
      </w:r>
    </w:p>
    <w:p w14:paraId="5542C2C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порядковый номер денежного потока, начиная с даты определения СЧА;</w:t>
      </w:r>
    </w:p>
    <w:p w14:paraId="7D36526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340" w:dyaOrig="360" w14:anchorId="77BC227D">
          <v:shape id="_x0000_i1044" type="#_x0000_t75" style="width:18.75pt;height:18.75pt" o:ole="">
            <v:imagedata r:id="rId49" o:title=""/>
          </v:shape>
          <o:OLEObject Type="Embed" ProgID="Equation.3" ShapeID="_x0000_i1044" DrawAspect="Content" ObjectID="_1687866620" r:id="rId50"/>
        </w:object>
      </w:r>
      <w:r w:rsidRPr="00A12F11">
        <w:rPr>
          <w:rFonts w:ascii="Times New Roman" w:hAnsi="Times New Roman" w:cs="Times New Roman"/>
          <w:sz w:val="24"/>
          <w:szCs w:val="24"/>
        </w:rPr>
        <w:t xml:space="preserve"> – количество дней от даты определения СЧА до даты n-ого денежного потока;</w:t>
      </w:r>
    </w:p>
    <w:p w14:paraId="2803658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lang w:val="en-US"/>
          </w:rPr>
          <m:t>r</m:t>
        </m:r>
      </m:oMath>
      <w:r w:rsidRPr="00A12F11">
        <w:rPr>
          <w:rFonts w:ascii="Times New Roman" w:hAnsi="Times New Roman" w:cs="Times New Roman"/>
          <w:sz w:val="24"/>
          <w:szCs w:val="24"/>
        </w:rPr>
        <w:t xml:space="preserve"> – ставка дисконтирования в процентах годовых, определенная в настоящем приложении. </w:t>
      </w:r>
    </w:p>
    <w:p w14:paraId="2559A88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График денежных потоков корректируется в случае:</w:t>
      </w:r>
    </w:p>
    <w:p w14:paraId="7BA42D3E" w14:textId="77777777" w:rsidR="001D77FA" w:rsidRPr="00A12F11" w:rsidRDefault="001D77FA" w:rsidP="00A12F11">
      <w:pPr>
        <w:spacing w:before="240" w:line="276" w:lineRule="auto"/>
        <w:ind w:left="426" w:hanging="426"/>
        <w:jc w:val="both"/>
        <w:rPr>
          <w:rFonts w:ascii="Times New Roman" w:hAnsi="Times New Roman" w:cs="Times New Roman"/>
          <w:i/>
          <w:iCs/>
          <w:sz w:val="24"/>
          <w:szCs w:val="24"/>
        </w:rPr>
      </w:pPr>
      <w:r w:rsidRPr="00A12F11">
        <w:rPr>
          <w:rFonts w:ascii="Times New Roman" w:hAnsi="Times New Roman" w:cs="Times New Roman"/>
          <w:sz w:val="24"/>
          <w:szCs w:val="24"/>
        </w:rPr>
        <w:t>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w:t>
      </w:r>
      <w:r w:rsidRPr="00A12F11">
        <w:rPr>
          <w:rFonts w:ascii="Times New Roman" w:hAnsi="Times New Roman" w:cs="Times New Roman"/>
          <w:i/>
          <w:iCs/>
          <w:sz w:val="24"/>
          <w:szCs w:val="24"/>
        </w:rPr>
        <w:t xml:space="preserve">), </w:t>
      </w:r>
    </w:p>
    <w:p w14:paraId="6468A5A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изменения суммы основного долга (пополнения, частичного досрочного погашения основного долга, если оно не было учтено в графике).</w:t>
      </w:r>
    </w:p>
    <w:p w14:paraId="1DA8A4F5" w14:textId="2865EA4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учета в справедливой стоимости обесценения по депозиту (вкладу) производится корректировка величины ожидаемых денежных потоков (</w:t>
      </w:r>
      <w:r w:rsidRPr="00A12F11">
        <w:rPr>
          <w:rFonts w:ascii="Times New Roman" w:hAnsi="Times New Roman" w:cs="Times New Roman"/>
          <w:position w:val="-12"/>
          <w:sz w:val="24"/>
          <w:szCs w:val="24"/>
        </w:rPr>
        <w:object w:dxaOrig="279" w:dyaOrig="360" w14:anchorId="07840A74">
          <v:shape id="_x0000_i1045" type="#_x0000_t75" style="width:12pt;height:18.75pt" o:ole="">
            <v:imagedata r:id="rId47" o:title=""/>
          </v:shape>
          <o:OLEObject Type="Embed" ProgID="Equation.3" ShapeID="_x0000_i1045" DrawAspect="Content" ObjectID="_1687866621" r:id="rId51"/>
        </w:object>
      </w:r>
      <w:r w:rsidRPr="00A12F11">
        <w:rPr>
          <w:rFonts w:ascii="Times New Roman" w:hAnsi="Times New Roman" w:cs="Times New Roman"/>
          <w:sz w:val="24"/>
          <w:szCs w:val="24"/>
        </w:rPr>
        <w:t>) в соответствии с Приложением</w:t>
      </w:r>
      <w:r w:rsidR="0065798E" w:rsidRPr="00A12F11">
        <w:rPr>
          <w:rFonts w:ascii="Times New Roman" w:hAnsi="Times New Roman" w:cs="Times New Roman"/>
          <w:sz w:val="24"/>
          <w:szCs w:val="24"/>
        </w:rPr>
        <w:t>5</w:t>
      </w:r>
    </w:p>
    <w:p w14:paraId="69CD0CF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1.2.</w:t>
      </w:r>
      <w:r w:rsidRPr="00A12F11">
        <w:rPr>
          <w:rFonts w:ascii="Times New Roman" w:hAnsi="Times New Roman" w:cs="Times New Roman"/>
          <w:sz w:val="24"/>
          <w:szCs w:val="24"/>
        </w:rPr>
        <w:t xml:space="preserve"> Порядок определения и корректировки потоков денежных средств</w:t>
      </w:r>
    </w:p>
    <w:p w14:paraId="7A764D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w:t>
      </w:r>
      <w:r w:rsidRPr="00A12F11">
        <w:rPr>
          <w:rFonts w:ascii="Times New Roman" w:hAnsi="Times New Roman" w:cs="Times New Roman"/>
          <w:sz w:val="24"/>
          <w:szCs w:val="24"/>
          <w:lang w:val="en-US"/>
        </w:rPr>
        <w:t>n</w:t>
      </w:r>
      <w:r w:rsidRPr="00A12F11">
        <w:rPr>
          <w:rFonts w:ascii="Times New Roman" w:hAnsi="Times New Roman" w:cs="Times New Roman"/>
          <w:sz w:val="24"/>
          <w:szCs w:val="24"/>
        </w:rPr>
        <w:t>-ого периода (за исключением случаев досрочного погашения основного долга).</w:t>
      </w:r>
    </w:p>
    <w:p w14:paraId="2783FF59" w14:textId="68DA5639"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Суммы денежных потоков рассчитываются с учетом капитализации процентных доходов, если это предусмотрено условиями договора.</w:t>
      </w:r>
    </w:p>
    <w:p w14:paraId="1B2AC923" w14:textId="77777777" w:rsidR="0065798E" w:rsidRPr="00A12F11" w:rsidRDefault="0065798E" w:rsidP="00A12F11">
      <w:pPr>
        <w:spacing w:before="240" w:line="276" w:lineRule="auto"/>
        <w:ind w:left="426" w:hanging="426"/>
        <w:jc w:val="both"/>
        <w:rPr>
          <w:rFonts w:ascii="Times New Roman" w:eastAsia="Calibri" w:hAnsi="Times New Roman" w:cs="Times New Roman"/>
          <w:sz w:val="24"/>
          <w:szCs w:val="24"/>
        </w:rPr>
      </w:pPr>
    </w:p>
    <w:p w14:paraId="0DE7C3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1.3.</w:t>
      </w:r>
      <w:r w:rsidRPr="00A12F11">
        <w:rPr>
          <w:rFonts w:ascii="Times New Roman" w:eastAsia="Calibri" w:hAnsi="Times New Roman" w:cs="Times New Roman"/>
          <w:sz w:val="24"/>
          <w:szCs w:val="24"/>
        </w:rPr>
        <w:t xml:space="preserve"> Периодичность определения ставки дисконтирования</w:t>
      </w:r>
    </w:p>
    <w:p w14:paraId="0F3BAC1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определяется по состоянию на каждую дату определения справедливой стоимости, включая:</w:t>
      </w:r>
    </w:p>
    <w:p w14:paraId="7F452599"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первоначального признания актива (обязательства);</w:t>
      </w:r>
    </w:p>
    <w:p w14:paraId="1AC0507A"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5EDC0F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дату изменения ключевой ставки Банка России, после первоначального признания актива (обязательства).</w:t>
      </w:r>
    </w:p>
    <w:p w14:paraId="3B475C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1.4.</w:t>
      </w:r>
      <w:r w:rsidRPr="00A12F11">
        <w:rPr>
          <w:rFonts w:ascii="Times New Roman" w:hAnsi="Times New Roman" w:cs="Times New Roman"/>
          <w:sz w:val="24"/>
          <w:szCs w:val="24"/>
        </w:rPr>
        <w:t xml:space="preserve"> Порядок определения ставки дисконтирования для депозита</w:t>
      </w:r>
    </w:p>
    <w:p w14:paraId="24D1F4F4" w14:textId="77777777" w:rsidR="006E5D92"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r w:rsidR="006E5D92" w:rsidRPr="00A12F11">
        <w:rPr>
          <w:rFonts w:ascii="Times New Roman" w:hAnsi="Times New Roman" w:cs="Times New Roman"/>
          <w:sz w:val="24"/>
          <w:szCs w:val="24"/>
        </w:rPr>
        <w:t xml:space="preserve"> </w:t>
      </w:r>
    </w:p>
    <w:p w14:paraId="373E9727" w14:textId="2848C68D"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hAnsi="Times New Roman" w:cs="Times New Roman"/>
          <w:bCs/>
          <w:sz w:val="24"/>
          <w:szCs w:val="24"/>
        </w:rPr>
        <w:t>ставке, предусмотренной договором в течение максимального срока, если ее  значение находится в</w:t>
      </w:r>
      <w:r w:rsidR="006E5D92" w:rsidRPr="00A12F11">
        <w:rPr>
          <w:rFonts w:ascii="Times New Roman" w:hAnsi="Times New Roman" w:cs="Times New Roman"/>
          <w:bCs/>
          <w:sz w:val="24"/>
          <w:szCs w:val="24"/>
        </w:rPr>
        <w:t xml:space="preserve"> </w:t>
      </w:r>
      <w:r w:rsidRPr="00A12F11">
        <w:rPr>
          <w:rFonts w:ascii="Times New Roman" w:hAnsi="Times New Roman" w:cs="Times New Roman"/>
          <w:bCs/>
          <w:sz w:val="24"/>
          <w:szCs w:val="24"/>
        </w:rPr>
        <w:t>пределах диапазона колебаний рыночной ставки на горизонте 3 месяцев с учетом последней раскрытой ставки.</w:t>
      </w:r>
    </w:p>
    <w:p w14:paraId="773977F3"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Диапазон рыночных ставок определяется в пределах (включительно):</w:t>
      </w:r>
    </w:p>
    <w:p w14:paraId="72BB9BBC"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en-US"/>
              </w:rPr>
              <m:t>r</m:t>
            </m:r>
          </m:e>
          <m:sub>
            <m:r>
              <w:rPr>
                <w:rFonts w:ascii="Cambria Math" w:hAnsi="Cambria Math" w:cs="Times New Roman"/>
                <w:color w:val="000000"/>
                <w:sz w:val="24"/>
                <w:szCs w:val="24"/>
              </w:rPr>
              <m:t>рын.мин</m:t>
            </m:r>
          </m:sub>
        </m:sSub>
      </m:oMath>
      <w:r w:rsidRPr="00A12F11">
        <w:rPr>
          <w:rFonts w:ascii="Times New Roman" w:eastAsia="Batang" w:hAnsi="Times New Roman" w:cs="Times New Roman"/>
          <w:sz w:val="24"/>
          <w:szCs w:val="24"/>
        </w:rPr>
        <w:t>),</w:t>
      </w:r>
    </w:p>
    <w:p w14:paraId="525B639B" w14:textId="0AF5E82B"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en-US"/>
              </w:rPr>
              <m:t>r</m:t>
            </m:r>
          </m:e>
          <m:sub>
            <m:r>
              <w:rPr>
                <w:rFonts w:ascii="Cambria Math" w:hAnsi="Cambria Math" w:cs="Times New Roman"/>
                <w:color w:val="000000"/>
                <w:sz w:val="24"/>
                <w:szCs w:val="24"/>
              </w:rPr>
              <m:t>рын.макс</m:t>
            </m:r>
          </m:sub>
        </m:sSub>
      </m:oMath>
      <w:r w:rsidRPr="00A12F11">
        <w:rPr>
          <w:rFonts w:ascii="Times New Roman" w:eastAsia="Batang" w:hAnsi="Times New Roman" w:cs="Times New Roman"/>
          <w:sz w:val="24"/>
          <w:szCs w:val="24"/>
        </w:rPr>
        <w:t>).</w:t>
      </w:r>
    </w:p>
    <w:p w14:paraId="17091E68"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s="Times New Roman"/>
            <w:color w:val="000000"/>
            <w:sz w:val="24"/>
            <w:szCs w:val="24"/>
          </w:rPr>
          <m:t>σ</m:t>
        </m:r>
      </m:oMath>
      <w:r w:rsidRPr="00A12F11">
        <w:rPr>
          <w:rFonts w:ascii="Times New Roman" w:eastAsia="Batang" w:hAnsi="Times New Roman" w:cs="Times New Roman"/>
          <w:sz w:val="24"/>
          <w:szCs w:val="24"/>
        </w:rPr>
        <w:t>) рыночных ставок на горизонте 3 месяцев с учетом последней раскрытой рыночной ставки и определяется по формуле</w:t>
      </w:r>
      <w:r w:rsidRPr="00A12F11">
        <w:rPr>
          <w:rStyle w:val="aff7"/>
          <w:rFonts w:ascii="Times New Roman" w:eastAsia="Batang" w:hAnsi="Times New Roman" w:cs="Times New Roman"/>
          <w:sz w:val="24"/>
          <w:szCs w:val="24"/>
        </w:rPr>
        <w:footnoteReference w:id="2"/>
      </w:r>
      <w:r w:rsidRPr="00A12F11">
        <w:rPr>
          <w:rFonts w:ascii="Times New Roman" w:eastAsia="Batang" w:hAnsi="Times New Roman" w:cs="Times New Roman"/>
          <w:sz w:val="24"/>
          <w:szCs w:val="24"/>
        </w:rPr>
        <w:t>:</w:t>
      </w:r>
    </w:p>
    <w:p w14:paraId="53E0413D" w14:textId="77777777"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p>
    <w:p w14:paraId="5D33A99C" w14:textId="77777777" w:rsidR="001D77FA" w:rsidRPr="00A12F11" w:rsidRDefault="001D77FA" w:rsidP="00A12F11">
      <w:pPr>
        <w:spacing w:before="240" w:line="276" w:lineRule="auto"/>
        <w:ind w:left="426" w:hanging="426"/>
        <w:jc w:val="both"/>
        <w:rPr>
          <w:rFonts w:ascii="Times New Roman" w:hAnsi="Times New Roman" w:cs="Times New Roman"/>
          <w:i/>
          <w:color w:val="000000"/>
          <w:sz w:val="24"/>
          <w:szCs w:val="24"/>
          <w:lang w:eastAsia="ru-RU"/>
        </w:rPr>
      </w:pPr>
      <m:oMathPara>
        <m:oMath>
          <m:r>
            <m:rPr>
              <m:sty m:val="p"/>
            </m:rPr>
            <w:rPr>
              <w:rFonts w:ascii="Cambria Math" w:eastAsia="Times New Roman" w:hAnsi="Cambria Math" w:cs="Times New Roman"/>
              <w:color w:val="000000"/>
              <w:sz w:val="24"/>
              <w:szCs w:val="24"/>
              <w:lang w:eastAsia="ru-RU"/>
            </w:rPr>
            <m:t>σ=ОКРУГЛ(</m:t>
          </m:r>
          <m:rad>
            <m:radPr>
              <m:degHide m:val="1"/>
              <m:ctrlPr>
                <w:rPr>
                  <w:rFonts w:ascii="Cambria Math" w:eastAsia="Times New Roman" w:hAnsi="Cambria Math" w:cs="Times New Roman"/>
                  <w:color w:val="000000"/>
                  <w:sz w:val="24"/>
                  <w:szCs w:val="24"/>
                  <w:lang w:eastAsia="ru-RU"/>
                </w:rPr>
              </m:ctrlPr>
            </m:radPr>
            <m:deg/>
            <m:e>
              <m:f>
                <m:fPr>
                  <m:ctrlPr>
                    <w:rPr>
                      <w:rFonts w:ascii="Cambria Math" w:eastAsia="Times New Roman" w:hAnsi="Cambria Math" w:cs="Times New Roman"/>
                      <w:i/>
                      <w:color w:val="000000"/>
                      <w:sz w:val="24"/>
                      <w:szCs w:val="24"/>
                      <w:lang w:eastAsia="ru-RU"/>
                    </w:rPr>
                  </m:ctrlPr>
                </m:fPr>
                <m:num>
                  <m:sSup>
                    <m:sSupPr>
                      <m:ctrlPr>
                        <w:rPr>
                          <w:rFonts w:ascii="Cambria Math" w:eastAsia="Times New Roman" w:hAnsi="Cambria Math" w:cs="Times New Roman"/>
                          <w:i/>
                          <w:color w:val="000000"/>
                          <w:sz w:val="24"/>
                          <w:szCs w:val="24"/>
                          <w:lang w:eastAsia="ru-RU"/>
                        </w:rPr>
                      </m:ctrlPr>
                    </m:sSupPr>
                    <m:e>
                      <m:nary>
                        <m:naryPr>
                          <m:chr m:val="∑"/>
                          <m:limLoc m:val="undOvr"/>
                          <m:ctrlPr>
                            <w:rPr>
                              <w:rFonts w:ascii="Cambria Math" w:eastAsia="Times New Roman" w:hAnsi="Cambria Math" w:cs="Times New Roman"/>
                              <w:color w:val="000000"/>
                              <w:sz w:val="24"/>
                              <w:szCs w:val="24"/>
                              <w:lang w:eastAsia="ru-RU"/>
                            </w:rPr>
                          </m:ctrlPr>
                        </m:naryPr>
                        <m:sub>
                          <m:r>
                            <w:rPr>
                              <w:rFonts w:ascii="Cambria Math" w:eastAsia="Times New Roman" w:hAnsi="Cambria Math" w:cs="Times New Roman"/>
                              <w:color w:val="000000"/>
                              <w:sz w:val="24"/>
                              <w:szCs w:val="24"/>
                              <w:lang w:val="en-US" w:eastAsia="ru-RU"/>
                            </w:rPr>
                            <m:t>i=</m:t>
                          </m:r>
                          <m:r>
                            <w:rPr>
                              <w:rFonts w:ascii="Cambria Math" w:eastAsia="Times New Roman" w:hAnsi="Cambria Math" w:cs="Times New Roman"/>
                              <w:color w:val="000000"/>
                              <w:sz w:val="24"/>
                              <w:szCs w:val="24"/>
                              <w:lang w:eastAsia="ru-RU"/>
                            </w:rPr>
                            <m:t>1</m:t>
                          </m:r>
                        </m:sub>
                        <m:sup>
                          <m:r>
                            <m:rPr>
                              <m:sty m:val="p"/>
                            </m:rPr>
                            <w:rPr>
                              <w:rFonts w:ascii="Cambria Math" w:eastAsia="Times New Roman" w:hAnsi="Cambria Math" w:cs="Times New Roman"/>
                              <w:color w:val="000000"/>
                              <w:sz w:val="24"/>
                              <w:szCs w:val="24"/>
                              <w:lang w:eastAsia="ru-RU"/>
                            </w:rPr>
                            <m:t>3</m:t>
                          </m:r>
                        </m:sup>
                        <m:e>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e>
                      </m:nary>
                      <m:r>
                        <w:rPr>
                          <w:rFonts w:ascii="Cambria Math" w:eastAsia="Times New Roman" w:hAnsi="Cambria Math" w:cs="Times New Roman"/>
                          <w:color w:val="000000"/>
                          <w:sz w:val="24"/>
                          <w:szCs w:val="24"/>
                          <w:lang w:eastAsia="ru-RU"/>
                        </w:rPr>
                        <m:t>-</m:t>
                      </m:r>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r>
                        <m:rPr>
                          <m:sty m:val="p"/>
                        </m:rPr>
                        <w:rPr>
                          <w:rFonts w:ascii="Cambria Math" w:hAnsi="Cambria Math" w:cs="Times New Roman"/>
                          <w:color w:val="000000"/>
                          <w:sz w:val="24"/>
                          <w:szCs w:val="24"/>
                          <w:lang w:val="en-US" w:eastAsia="ru-RU"/>
                        </w:rPr>
                        <m:t>)</m:t>
                      </m:r>
                    </m:e>
                    <m:sup>
                      <m:r>
                        <w:rPr>
                          <w:rFonts w:ascii="Cambria Math" w:eastAsia="Times New Roman" w:hAnsi="Cambria Math" w:cs="Times New Roman"/>
                          <w:color w:val="000000"/>
                          <w:sz w:val="24"/>
                          <w:szCs w:val="24"/>
                          <w:lang w:eastAsia="ru-RU"/>
                        </w:rPr>
                        <m:t>2</m:t>
                      </m:r>
                    </m:sup>
                  </m:sSup>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;2)</m:t>
              </m:r>
            </m:e>
          </m:rad>
        </m:oMath>
      </m:oMathPara>
    </w:p>
    <w:p w14:paraId="21FEA77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416AE88E" w14:textId="77777777" w:rsidR="001D77FA" w:rsidRPr="00A12F11" w:rsidRDefault="001D77FA" w:rsidP="00A12F11">
      <w:pPr>
        <w:spacing w:before="240" w:line="276" w:lineRule="auto"/>
        <w:ind w:left="426" w:hanging="426"/>
        <w:jc w:val="both"/>
        <w:rPr>
          <w:rFonts w:ascii="Times New Roman" w:eastAsia="Times New Roman" w:hAnsi="Times New Roman" w:cs="Times New Roman"/>
          <w:sz w:val="24"/>
          <w:szCs w:val="24"/>
        </w:rPr>
      </w:pPr>
      <m:oMath>
        <m:r>
          <m:rPr>
            <m:sty m:val="p"/>
          </m:rPr>
          <w:rPr>
            <w:rFonts w:ascii="Cambria Math" w:eastAsia="Times New Roman" w:hAnsi="Cambria Math" w:cs="Times New Roman"/>
            <w:color w:val="000000"/>
            <w:sz w:val="24"/>
            <w:szCs w:val="24"/>
            <w:lang w:eastAsia="ru-RU"/>
          </w:rPr>
          <m:t>σ</m:t>
        </m:r>
      </m:oMath>
      <w:r w:rsidRPr="00A12F11">
        <w:rPr>
          <w:rFonts w:ascii="Times New Roman" w:eastAsia="Times New Roman" w:hAnsi="Times New Roman" w:cs="Times New Roman"/>
          <w:sz w:val="24"/>
          <w:szCs w:val="24"/>
        </w:rPr>
        <w:tab/>
      </w:r>
      <w:r w:rsidRPr="00A12F11">
        <w:rPr>
          <w:rFonts w:ascii="Times New Roman" w:eastAsia="Times New Roman" w:hAnsi="Times New Roman" w:cs="Times New Roman"/>
          <w:sz w:val="24"/>
          <w:szCs w:val="24"/>
        </w:rPr>
        <w:tab/>
        <w:t xml:space="preserve"> – </w:t>
      </w:r>
      <w:r w:rsidRPr="00A12F11">
        <w:rPr>
          <w:rFonts w:ascii="Times New Roman" w:eastAsia="Times New Roman" w:hAnsi="Times New Roman" w:cs="Times New Roman"/>
          <w:sz w:val="24"/>
          <w:szCs w:val="24"/>
        </w:rPr>
        <w:tab/>
        <w:t>стандартное отклонение рыночных ставок;</w:t>
      </w:r>
    </w:p>
    <w:p w14:paraId="3D685A24" w14:textId="77777777" w:rsidR="001D77FA" w:rsidRPr="00A12F11" w:rsidRDefault="00421381" w:rsidP="00A12F11">
      <w:pPr>
        <w:spacing w:before="240" w:line="276" w:lineRule="auto"/>
        <w:ind w:left="426" w:hanging="426"/>
        <w:jc w:val="both"/>
        <w:rPr>
          <w:rFonts w:ascii="Times New Roman" w:eastAsia="Times New Roman" w:hAnsi="Times New Roman" w:cs="Times New Roman"/>
          <w:sz w:val="24"/>
          <w:szCs w:val="24"/>
        </w:rPr>
      </w:p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 xml:space="preserve">– </w:t>
      </w:r>
      <w:r w:rsidR="001D77FA" w:rsidRPr="00A12F11">
        <w:rPr>
          <w:rFonts w:ascii="Times New Roman" w:eastAsia="Times New Roman" w:hAnsi="Times New Roman" w:cs="Times New Roman"/>
          <w:sz w:val="24"/>
          <w:szCs w:val="24"/>
        </w:rPr>
        <w:tab/>
        <w:t>значение рыночной ставки;</w:t>
      </w:r>
    </w:p>
    <w:p w14:paraId="6756E6A6" w14:textId="77777777" w:rsidR="001D77FA" w:rsidRPr="00A12F11" w:rsidRDefault="00421381" w:rsidP="00A12F11">
      <w:pPr>
        <w:spacing w:before="240" w:line="276" w:lineRule="auto"/>
        <w:ind w:left="426" w:hanging="426"/>
        <w:jc w:val="both"/>
        <w:rPr>
          <w:rFonts w:ascii="Times New Roman" w:eastAsia="Times New Roman" w:hAnsi="Times New Roman" w:cs="Times New Roman"/>
          <w:sz w:val="24"/>
          <w:szCs w:val="24"/>
        </w:rPr>
      </w:pPr>
      <m:oMath>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w:t>
      </w:r>
      <w:r w:rsidR="001D77FA" w:rsidRPr="00A12F11">
        <w:rPr>
          <w:rFonts w:ascii="Times New Roman" w:eastAsia="Times New Roman" w:hAnsi="Times New Roman" w:cs="Times New Roman"/>
          <w:sz w:val="24"/>
          <w:szCs w:val="24"/>
        </w:rPr>
        <w:tab/>
        <w:t xml:space="preserve"> среднее значение рыночной ставки из генеральной совокупности рыночных ставок за 3 месяца.</w:t>
      </w:r>
    </w:p>
    <w:p w14:paraId="0BDB6AC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Значение </w:t>
      </w:r>
      <m:oMath>
        <m:r>
          <m:rPr>
            <m:sty m:val="p"/>
          </m:rPr>
          <w:rPr>
            <w:rFonts w:ascii="Cambria Math" w:hAnsi="Cambria Math" w:cs="Times New Roman"/>
            <w:sz w:val="24"/>
            <w:szCs w:val="24"/>
          </w:rPr>
          <m:t>σ</m:t>
        </m:r>
      </m:oMath>
      <w:r w:rsidRPr="00A12F11">
        <w:rPr>
          <w:rFonts w:ascii="Times New Roman" w:hAnsi="Times New Roman" w:cs="Times New Roman"/>
          <w:sz w:val="24"/>
          <w:szCs w:val="24"/>
        </w:rPr>
        <w:t xml:space="preserve"> рассчитывается без промежуточных округлений и соответствует значению в процентах, округленному до 2 знаков после запятой.</w:t>
      </w:r>
    </w:p>
    <w:p w14:paraId="7B9B895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 договору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дог</m:t>
            </m:r>
          </m:sub>
        </m:sSub>
        <m:r>
          <m:rPr>
            <m:sty m:val="p"/>
          </m:rPr>
          <w:rPr>
            <w:rFonts w:ascii="Cambria Math" w:hAnsi="Cambria Math" w:cs="Times New Roman"/>
            <w:sz w:val="24"/>
            <w:szCs w:val="24"/>
          </w:rPr>
          <m:t>)</m:t>
        </m:r>
      </m:oMath>
      <w:r w:rsidRPr="00A12F11">
        <w:rPr>
          <w:rFonts w:ascii="Times New Roman" w:hAnsi="Times New Roman" w:cs="Times New Roman"/>
          <w:sz w:val="24"/>
          <w:szCs w:val="24"/>
        </w:rPr>
        <w:t xml:space="preserve"> применяется в качестве ставки дисконтирования, если соблюдается условие:</w:t>
      </w:r>
    </w:p>
    <w:p w14:paraId="18F19C6A" w14:textId="77777777" w:rsidR="001D77FA" w:rsidRPr="00A12F11" w:rsidRDefault="001D77FA" w:rsidP="00A12F11">
      <w:pPr>
        <w:spacing w:before="240" w:line="276" w:lineRule="auto"/>
        <w:ind w:left="426" w:hanging="426"/>
        <w:jc w:val="both"/>
        <w:rPr>
          <w:rFonts w:ascii="Times New Roman" w:hAnsi="Times New Roman" w:cs="Times New Roman"/>
          <w:color w:val="000000"/>
          <w:sz w:val="24"/>
          <w:szCs w:val="24"/>
          <w:lang w:eastAsia="ru-RU"/>
        </w:rPr>
      </w:pP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рын.мин</m:t>
            </m:r>
          </m:sub>
        </m:sSub>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ru-RU"/>
          </w:rPr>
          <m:t>σ)</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дог</m:t>
            </m:r>
          </m:sub>
        </m:sSub>
        <m:r>
          <w:rPr>
            <w:rFonts w:ascii="Cambria Math" w:hAnsi="Cambria Math" w:cs="Times New Roman"/>
            <w:sz w:val="24"/>
            <w:szCs w:val="24"/>
          </w:rPr>
          <m:t>≤</m:t>
        </m:r>
      </m:oMath>
      <w:r w:rsidRPr="00A12F11">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рын.макс</m:t>
            </m:r>
          </m:sub>
        </m:sSub>
        <m:r>
          <m:rPr>
            <m:sty m:val="p"/>
          </m:rPr>
          <w:rPr>
            <w:rFonts w:ascii="Cambria Math" w:eastAsia="Times New Roman" w:hAnsi="Cambria Math" w:cs="Times New Roman"/>
            <w:color w:val="000000"/>
            <w:sz w:val="24"/>
            <w:szCs w:val="24"/>
            <w:lang w:eastAsia="ru-RU"/>
          </w:rPr>
          <m:t>+σ)</m:t>
        </m:r>
      </m:oMath>
    </w:p>
    <w:p w14:paraId="080A4A1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4F3A24DA" w14:textId="3D74CA32"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 xml:space="preserve">В качестве рыночных ставок для депозитов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w:t>
      </w:r>
      <w:r w:rsidR="006E5D92"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3"/>
      </w:r>
      <w:r w:rsidR="006E5D92" w:rsidRPr="00A12F11">
        <w:rPr>
          <w:rFonts w:ascii="Times New Roman" w:eastAsia="Batang" w:hAnsi="Times New Roman" w:cs="Times New Roman"/>
          <w:sz w:val="24"/>
          <w:szCs w:val="24"/>
        </w:rPr>
        <w:t xml:space="preserve"> </w:t>
      </w:r>
      <w:r w:rsidRPr="00A12F11">
        <w:rPr>
          <w:rFonts w:ascii="Times New Roman" w:eastAsia="Batang" w:hAnsi="Times New Roman" w:cs="Times New Roman"/>
          <w:sz w:val="24"/>
          <w:szCs w:val="24"/>
          <w:lang w:eastAsia="ru-RU"/>
        </w:rPr>
        <w:t xml:space="preserve">в целом по Российской </w:t>
      </w:r>
      <w:r w:rsidR="006E5D92" w:rsidRPr="00A12F11">
        <w:rPr>
          <w:rFonts w:ascii="Times New Roman" w:eastAsia="Batang" w:hAnsi="Times New Roman" w:cs="Times New Roman"/>
          <w:sz w:val="24"/>
          <w:szCs w:val="24"/>
          <w:lang w:eastAsia="ru-RU"/>
        </w:rPr>
        <w:t>Ф</w:t>
      </w:r>
      <w:r w:rsidRPr="00A12F11">
        <w:rPr>
          <w:rFonts w:ascii="Times New Roman" w:eastAsia="Batang" w:hAnsi="Times New Roman" w:cs="Times New Roman"/>
          <w:sz w:val="24"/>
          <w:szCs w:val="24"/>
          <w:lang w:eastAsia="ru-RU"/>
        </w:rPr>
        <w:t>едерации</w:t>
      </w:r>
      <w:r w:rsidR="006E5D92" w:rsidRPr="00A12F11">
        <w:rPr>
          <w:rFonts w:ascii="Times New Roman" w:eastAsia="Batang" w:hAnsi="Times New Roman" w:cs="Times New Roman"/>
          <w:sz w:val="24"/>
          <w:szCs w:val="24"/>
          <w:lang w:eastAsia="ru-RU"/>
        </w:rPr>
        <w:t>.</w:t>
      </w:r>
      <w:r w:rsidRPr="00A12F11">
        <w:rPr>
          <w:rFonts w:ascii="Times New Roman" w:eastAsia="Batang" w:hAnsi="Times New Roman" w:cs="Times New Roman"/>
          <w:sz w:val="24"/>
          <w:szCs w:val="24"/>
          <w:lang w:eastAsia="ru-RU"/>
        </w:rPr>
        <w:t xml:space="preserve"> </w:t>
      </w:r>
    </w:p>
    <w:p w14:paraId="04A48DC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color w:val="000000"/>
          <w:sz w:val="24"/>
          <w:szCs w:val="24"/>
          <w:lang w:eastAsia="ru-RU"/>
        </w:rPr>
        <w:t xml:space="preserve">Средневзвешенные ставки определяются с использованием </w:t>
      </w:r>
      <w:r w:rsidRPr="00A12F11">
        <w:rPr>
          <w:rFonts w:ascii="Times New Roman" w:hAnsi="Times New Roman" w:cs="Times New Roman"/>
          <w:sz w:val="24"/>
          <w:szCs w:val="24"/>
        </w:rPr>
        <w:t>шкалы (развернутой), включающей позиции:</w:t>
      </w:r>
    </w:p>
    <w:p w14:paraId="37E093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до 30 дней, кроме до востребования</w:t>
      </w:r>
    </w:p>
    <w:p w14:paraId="3D814E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31 до 90 календарных дней;</w:t>
      </w:r>
    </w:p>
    <w:p w14:paraId="24A7425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91 до 180 календарных дней;</w:t>
      </w:r>
    </w:p>
    <w:p w14:paraId="3FA9ACB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181 календарных дней до 1 года;</w:t>
      </w:r>
    </w:p>
    <w:p w14:paraId="6B530A5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 года до 3 лет;</w:t>
      </w:r>
    </w:p>
    <w:p w14:paraId="6BC1B2F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свыше 3 лет</w:t>
      </w:r>
    </w:p>
    <w:p w14:paraId="00FB2FC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3F63D55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73FCE085" w14:textId="57E37D7F" w:rsidR="001D77FA" w:rsidRPr="00A12F11" w:rsidRDefault="001D77FA" w:rsidP="00A12F11">
      <w:pPr>
        <w:spacing w:before="240" w:line="276" w:lineRule="auto"/>
        <w:ind w:left="426" w:hanging="426"/>
        <w:jc w:val="both"/>
        <w:rPr>
          <w:rFonts w:ascii="Times New Roman" w:hAnsi="Times New Roman" w:cs="Times New Roman"/>
          <w:i/>
          <w:color w:val="943634"/>
          <w:sz w:val="24"/>
          <w:szCs w:val="24"/>
          <w:highlight w:val="yellow"/>
        </w:rPr>
      </w:pPr>
      <w:r w:rsidRPr="00A12F11">
        <w:rPr>
          <w:rFonts w:ascii="Times New Roman" w:eastAsia="Batang" w:hAnsi="Times New Roman" w:cs="Times New Roman"/>
          <w:sz w:val="24"/>
          <w:szCs w:val="24"/>
        </w:rPr>
        <w:t xml:space="preserve">Если наиболее </w:t>
      </w:r>
      <w:r w:rsidR="00E453B7" w:rsidRPr="00A12F11">
        <w:rPr>
          <w:rFonts w:ascii="Times New Roman" w:eastAsia="Batang" w:hAnsi="Times New Roman" w:cs="Times New Roman"/>
          <w:sz w:val="24"/>
          <w:szCs w:val="24"/>
        </w:rPr>
        <w:t>поздняя средневзвешенная</w:t>
      </w:r>
      <w:r w:rsidRPr="00A12F11">
        <w:rPr>
          <w:rFonts w:ascii="Times New Roman" w:eastAsia="Batang" w:hAnsi="Times New Roman" w:cs="Times New Roman"/>
          <w:sz w:val="24"/>
          <w:szCs w:val="24"/>
        </w:rPr>
        <w:t xml:space="preserve"> процентная ставка, раскрытая на сайте Банка России, рассчитана ранее, чем за месяц до даты определения справедливой стоимости, рыночная ставка подлежит анализу на необходим</w:t>
      </w:r>
      <w:r w:rsidR="00C901C3" w:rsidRPr="00A12F11">
        <w:rPr>
          <w:rFonts w:ascii="Times New Roman" w:eastAsia="Batang" w:hAnsi="Times New Roman" w:cs="Times New Roman"/>
          <w:sz w:val="24"/>
          <w:szCs w:val="24"/>
        </w:rPr>
        <w:t>ость корректировки (см. раздел 1</w:t>
      </w:r>
      <w:r w:rsidRPr="00A12F11">
        <w:rPr>
          <w:rFonts w:ascii="Times New Roman" w:eastAsia="Batang" w:hAnsi="Times New Roman" w:cs="Times New Roman"/>
          <w:sz w:val="24"/>
          <w:szCs w:val="24"/>
        </w:rPr>
        <w:t xml:space="preserve">.6. Порядок корректировки рыночной </w:t>
      </w:r>
      <w:r w:rsidR="00E453B7" w:rsidRPr="00A12F11">
        <w:rPr>
          <w:rFonts w:ascii="Times New Roman" w:eastAsia="Batang" w:hAnsi="Times New Roman" w:cs="Times New Roman"/>
          <w:sz w:val="24"/>
          <w:szCs w:val="24"/>
        </w:rPr>
        <w:t>ставки настоящего</w:t>
      </w:r>
      <w:r w:rsidRPr="00A12F11">
        <w:rPr>
          <w:rFonts w:ascii="Times New Roman" w:eastAsia="Batang" w:hAnsi="Times New Roman" w:cs="Times New Roman"/>
          <w:sz w:val="24"/>
          <w:szCs w:val="24"/>
        </w:rPr>
        <w:t xml:space="preserve"> Приложения).</w:t>
      </w:r>
    </w:p>
    <w:p w14:paraId="3923DAFF" w14:textId="4DF86A87" w:rsidR="001D77FA" w:rsidRPr="00A12F11" w:rsidRDefault="007600DC" w:rsidP="00A12F11">
      <w:pPr>
        <w:spacing w:before="240" w:line="276" w:lineRule="auto"/>
        <w:ind w:left="426" w:hanging="426"/>
        <w:jc w:val="both"/>
        <w:rPr>
          <w:rFonts w:ascii="Times New Roman" w:eastAsia="Batang" w:hAnsi="Times New Roman" w:cs="Times New Roman"/>
          <w:bCs/>
          <w:sz w:val="24"/>
          <w:szCs w:val="24"/>
          <w:lang w:eastAsia="ru-RU"/>
        </w:rPr>
      </w:pPr>
      <w:r w:rsidRPr="00A12F11">
        <w:rPr>
          <w:rFonts w:ascii="Times New Roman" w:eastAsia="Batang" w:hAnsi="Times New Roman" w:cs="Times New Roman"/>
          <w:bCs/>
          <w:sz w:val="24"/>
          <w:szCs w:val="24"/>
          <w:lang w:eastAsia="ru-RU"/>
        </w:rPr>
        <w:t>Р</w:t>
      </w:r>
      <w:r w:rsidR="001D77FA" w:rsidRPr="00A12F11">
        <w:rPr>
          <w:rFonts w:ascii="Times New Roman" w:eastAsia="Batang" w:hAnsi="Times New Roman" w:cs="Times New Roman"/>
          <w:bCs/>
          <w:sz w:val="24"/>
          <w:szCs w:val="24"/>
          <w:lang w:eastAsia="ru-RU"/>
        </w:rPr>
        <w:t>ыночной ставке, скорректированной на изменение ключевой ставки, если ставка по договору выходит за границы диапазона рыночных ставок (см. пункт выше) или если ставка по договору не установлена.</w:t>
      </w:r>
    </w:p>
    <w:p w14:paraId="0BF33632" w14:textId="37D52A08"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2A83848A" w14:textId="79E5853B" w:rsidR="001D77FA" w:rsidRPr="00A12F11" w:rsidRDefault="001D77FA"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 xml:space="preserve"> </w:t>
      </w:r>
      <w:r w:rsidR="00516E09" w:rsidRPr="00A12F11">
        <w:rPr>
          <w:rFonts w:ascii="Times New Roman" w:eastAsia="Batang" w:hAnsi="Times New Roman" w:cs="Times New Roman"/>
          <w:b/>
          <w:sz w:val="24"/>
          <w:szCs w:val="24"/>
          <w:lang w:eastAsia="ru-RU"/>
        </w:rPr>
        <w:t>1.5</w:t>
      </w:r>
      <w:r w:rsidR="00516E09" w:rsidRPr="00A12F11">
        <w:rPr>
          <w:rFonts w:ascii="Times New Roman" w:hAnsi="Times New Roman" w:cs="Times New Roman"/>
          <w:i/>
          <w:color w:val="943634"/>
          <w:sz w:val="24"/>
          <w:szCs w:val="24"/>
        </w:rPr>
        <w:t xml:space="preserve"> </w:t>
      </w:r>
      <w:r w:rsidRPr="00A12F11">
        <w:rPr>
          <w:rFonts w:ascii="Times New Roman" w:hAnsi="Times New Roman" w:cs="Times New Roman"/>
          <w:sz w:val="24"/>
          <w:szCs w:val="24"/>
        </w:rPr>
        <w:t>Порядок определения ставки дисконтирования для долгосрочной аренды (ПИФ - арендатор)</w:t>
      </w:r>
    </w:p>
    <w:p w14:paraId="12805D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p>
    <w:p w14:paraId="617DA68A" w14:textId="77777777"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hAnsi="Times New Roman" w:cs="Times New Roman"/>
          <w:bCs/>
          <w:sz w:val="24"/>
          <w:szCs w:val="24"/>
        </w:rPr>
        <w:t>ставке, предусмотренной договором аренды</w:t>
      </w:r>
    </w:p>
    <w:p w14:paraId="2C6AE389" w14:textId="6D54997A"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eastAsia="Batang" w:hAnsi="Times New Roman" w:cs="Times New Roman"/>
          <w:bCs/>
          <w:sz w:val="24"/>
          <w:szCs w:val="24"/>
          <w:lang w:eastAsia="ru-RU"/>
        </w:rPr>
        <w:t xml:space="preserve">рыночной ставке, скорректированной на изменение ключевой </w:t>
      </w:r>
      <w:r w:rsidR="00E453B7" w:rsidRPr="00A12F11">
        <w:rPr>
          <w:rFonts w:ascii="Times New Roman" w:eastAsia="Batang" w:hAnsi="Times New Roman" w:cs="Times New Roman"/>
          <w:bCs/>
          <w:sz w:val="24"/>
          <w:szCs w:val="24"/>
          <w:lang w:eastAsia="ru-RU"/>
        </w:rPr>
        <w:t>ставки в случае, если</w:t>
      </w:r>
      <w:r w:rsidRPr="00A12F11">
        <w:rPr>
          <w:rFonts w:ascii="Times New Roman" w:eastAsia="Batang" w:hAnsi="Times New Roman" w:cs="Times New Roman"/>
          <w:bCs/>
          <w:sz w:val="24"/>
          <w:szCs w:val="24"/>
          <w:lang w:eastAsia="ru-RU"/>
        </w:rPr>
        <w:t xml:space="preserve"> ставка по договору не установлена.</w:t>
      </w:r>
    </w:p>
    <w:p w14:paraId="1BA7CBB9" w14:textId="14CD66FF"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089DA62B" w14:textId="0964BF56"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В качестве рыночных ставок для долгосрочной аренды применяются значения средневзвешенных процентных ставок по кредитам, предоставленным кредитными организациями нефинансовым организациям</w:t>
      </w:r>
      <w:r w:rsidRPr="00A12F11">
        <w:rPr>
          <w:rFonts w:ascii="Times New Roman" w:hAnsi="Times New Roman" w:cs="Times New Roman"/>
          <w:sz w:val="24"/>
          <w:szCs w:val="24"/>
        </w:rPr>
        <w:t xml:space="preserve"> </w:t>
      </w:r>
      <w:r w:rsidRPr="00A12F11">
        <w:rPr>
          <w:rFonts w:ascii="Times New Roman" w:eastAsia="Batang" w:hAnsi="Times New Roman" w:cs="Times New Roman"/>
          <w:sz w:val="24"/>
          <w:szCs w:val="24"/>
        </w:rPr>
        <w:t xml:space="preserve">в рублях и иностранной </w:t>
      </w:r>
      <w:r w:rsidR="00E453B7"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4"/>
      </w:r>
      <w:r w:rsidRPr="00A12F11">
        <w:rPr>
          <w:rFonts w:ascii="Times New Roman" w:eastAsia="Batang" w:hAnsi="Times New Roman" w:cs="Times New Roman"/>
          <w:sz w:val="24"/>
          <w:szCs w:val="24"/>
        </w:rPr>
        <w:t>.</w:t>
      </w:r>
    </w:p>
    <w:p w14:paraId="22FC73C6" w14:textId="77777777" w:rsidR="001D77FA" w:rsidRPr="00A12F11" w:rsidRDefault="001D77FA" w:rsidP="00A12F11">
      <w:pPr>
        <w:spacing w:before="240" w:line="276" w:lineRule="auto"/>
        <w:ind w:left="426" w:hanging="426"/>
        <w:jc w:val="both"/>
        <w:rPr>
          <w:rFonts w:ascii="Times New Roman" w:hAnsi="Times New Roman" w:cs="Times New Roman"/>
          <w:i/>
          <w:color w:val="943634"/>
          <w:sz w:val="24"/>
          <w:szCs w:val="24"/>
        </w:rPr>
      </w:pPr>
      <w:r w:rsidRPr="00A12F11">
        <w:rPr>
          <w:rFonts w:ascii="Times New Roman" w:eastAsia="Batang" w:hAnsi="Times New Roman" w:cs="Times New Roman"/>
          <w:sz w:val="24"/>
          <w:szCs w:val="24"/>
        </w:rPr>
        <w:t>Рыночной ставкой в отношении долгосрочной аренды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договора аренды, на срок, сопоставимый со сроком, оставшимся на отчетную дату до окончания срока договора аренды.</w:t>
      </w:r>
    </w:p>
    <w:p w14:paraId="49F2369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6C251984" w14:textId="0B58FAB1" w:rsidR="001D77FA" w:rsidRPr="00A12F11" w:rsidRDefault="00516E09"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1.6</w:t>
      </w:r>
      <w:r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sz w:val="24"/>
          <w:szCs w:val="24"/>
        </w:rPr>
        <w:t xml:space="preserve">Порядок корректировки рыночной ставки </w:t>
      </w:r>
    </w:p>
    <w:p w14:paraId="6650D4E9"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(Указанный порядок используется только в случае, если в качестве рыночной ставки выбрана средневзвешенная ставка Банка России)</w:t>
      </w:r>
    </w:p>
    <w:p w14:paraId="4604E7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(обязательства), для определения необходимости корректировки рыночной ставки применяется следующий подход:</w:t>
      </w:r>
    </w:p>
    <w:p w14:paraId="453219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w:t>
      </w:r>
    </w:p>
    <w:p w14:paraId="2DFCC0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ключевая ставка Банка России не изменилась до момента определения справедливой стоимости, в качестве рыночной ставки применяется последняя раскрытая средневзвешенная ставка; </w:t>
      </w:r>
    </w:p>
    <w:p w14:paraId="5483B9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ключевая ставка Банка России изменилась до момента определения справедливой стоимости, </w:t>
      </w:r>
      <w:r w:rsidRPr="00A12F11">
        <w:rPr>
          <w:rFonts w:ascii="Times New Roman" w:eastAsia="Batang" w:hAnsi="Times New Roman" w:cs="Times New Roman"/>
          <w:sz w:val="24"/>
          <w:szCs w:val="24"/>
        </w:rPr>
        <w:t xml:space="preserve">в качестве рыночной ставки применяется </w:t>
      </w:r>
      <w:r w:rsidRPr="00A12F11">
        <w:rPr>
          <w:rFonts w:ascii="Times New Roman" w:hAnsi="Times New Roman" w:cs="Times New Roman"/>
          <w:sz w:val="24"/>
          <w:szCs w:val="24"/>
        </w:rPr>
        <w:t>последняя раскрытая средневзвешенная ставка, которая корректируется пропорционально изменению Ключевой ставки Банка России, т.е. значение рыночной ставки изменяется в той же пропорции, в какой изменилась ключевая ставка.</w:t>
      </w:r>
      <w:r w:rsidRPr="00A12F11">
        <w:rPr>
          <w:rFonts w:ascii="Times New Roman" w:hAnsi="Times New Roman" w:cs="Times New Roman"/>
          <w:sz w:val="24"/>
          <w:szCs w:val="24"/>
        </w:rPr>
        <w:tab/>
      </w:r>
    </w:p>
    <w:p w14:paraId="4946860B"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7E46D686"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77997E5F"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3BA8147F" w14:textId="0C328D72" w:rsidR="00DC3099" w:rsidRDefault="00DC3099" w:rsidP="00A12F11">
      <w:pPr>
        <w:spacing w:before="240" w:line="276" w:lineRule="auto"/>
        <w:ind w:left="426" w:hanging="426"/>
        <w:jc w:val="right"/>
        <w:rPr>
          <w:rFonts w:ascii="Times New Roman" w:hAnsi="Times New Roman" w:cs="Times New Roman"/>
          <w:b/>
          <w:sz w:val="24"/>
          <w:szCs w:val="24"/>
        </w:rPr>
      </w:pPr>
    </w:p>
    <w:p w14:paraId="0A68F9CD" w14:textId="7843E777" w:rsidR="00DC3099" w:rsidRDefault="00DC3099" w:rsidP="00A12F11">
      <w:pPr>
        <w:spacing w:before="240" w:line="276" w:lineRule="auto"/>
        <w:ind w:left="426" w:hanging="426"/>
        <w:jc w:val="right"/>
        <w:rPr>
          <w:rFonts w:ascii="Times New Roman" w:hAnsi="Times New Roman" w:cs="Times New Roman"/>
          <w:b/>
          <w:sz w:val="24"/>
          <w:szCs w:val="24"/>
        </w:rPr>
      </w:pPr>
    </w:p>
    <w:p w14:paraId="6013B0B2" w14:textId="6E6E8F3A" w:rsidR="00DC3099" w:rsidRDefault="00DC3099" w:rsidP="00A12F11">
      <w:pPr>
        <w:spacing w:before="240" w:line="276" w:lineRule="auto"/>
        <w:ind w:left="426" w:hanging="426"/>
        <w:jc w:val="right"/>
        <w:rPr>
          <w:rFonts w:ascii="Times New Roman" w:hAnsi="Times New Roman" w:cs="Times New Roman"/>
          <w:b/>
          <w:sz w:val="24"/>
          <w:szCs w:val="24"/>
        </w:rPr>
      </w:pPr>
    </w:p>
    <w:p w14:paraId="227999DC" w14:textId="2E105514" w:rsidR="00DC3099" w:rsidRDefault="00DC3099" w:rsidP="00A12F11">
      <w:pPr>
        <w:spacing w:before="240" w:line="276" w:lineRule="auto"/>
        <w:ind w:left="426" w:hanging="426"/>
        <w:jc w:val="right"/>
        <w:rPr>
          <w:rFonts w:ascii="Times New Roman" w:hAnsi="Times New Roman" w:cs="Times New Roman"/>
          <w:b/>
          <w:sz w:val="24"/>
          <w:szCs w:val="24"/>
        </w:rPr>
      </w:pPr>
    </w:p>
    <w:p w14:paraId="439CB708" w14:textId="6E2694C8" w:rsidR="00DC3099" w:rsidRDefault="00DC3099" w:rsidP="00A12F11">
      <w:pPr>
        <w:spacing w:before="240" w:line="276" w:lineRule="auto"/>
        <w:ind w:left="426" w:hanging="426"/>
        <w:jc w:val="right"/>
        <w:rPr>
          <w:rFonts w:ascii="Times New Roman" w:hAnsi="Times New Roman" w:cs="Times New Roman"/>
          <w:b/>
          <w:sz w:val="24"/>
          <w:szCs w:val="24"/>
        </w:rPr>
      </w:pPr>
    </w:p>
    <w:p w14:paraId="5926A58E" w14:textId="3AAA1DD1" w:rsidR="00DC3099" w:rsidRDefault="00DC3099" w:rsidP="00A12F11">
      <w:pPr>
        <w:spacing w:before="240" w:line="276" w:lineRule="auto"/>
        <w:ind w:left="426" w:hanging="426"/>
        <w:jc w:val="right"/>
        <w:rPr>
          <w:rFonts w:ascii="Times New Roman" w:hAnsi="Times New Roman" w:cs="Times New Roman"/>
          <w:b/>
          <w:sz w:val="24"/>
          <w:szCs w:val="24"/>
        </w:rPr>
      </w:pPr>
    </w:p>
    <w:p w14:paraId="2B469D9D" w14:textId="4F195CD6" w:rsidR="00DC3099" w:rsidRDefault="00DC3099" w:rsidP="00A12F11">
      <w:pPr>
        <w:spacing w:before="240" w:line="276" w:lineRule="auto"/>
        <w:ind w:left="426" w:hanging="426"/>
        <w:jc w:val="right"/>
        <w:rPr>
          <w:rFonts w:ascii="Times New Roman" w:hAnsi="Times New Roman" w:cs="Times New Roman"/>
          <w:b/>
          <w:sz w:val="24"/>
          <w:szCs w:val="24"/>
        </w:rPr>
      </w:pPr>
    </w:p>
    <w:p w14:paraId="1B0B5E8D" w14:textId="1E3714C7" w:rsidR="00DC3099" w:rsidRDefault="00DC3099" w:rsidP="00A12F11">
      <w:pPr>
        <w:spacing w:before="240" w:line="276" w:lineRule="auto"/>
        <w:ind w:left="426" w:hanging="426"/>
        <w:jc w:val="right"/>
        <w:rPr>
          <w:rFonts w:ascii="Times New Roman" w:hAnsi="Times New Roman" w:cs="Times New Roman"/>
          <w:b/>
          <w:sz w:val="24"/>
          <w:szCs w:val="24"/>
        </w:rPr>
      </w:pPr>
    </w:p>
    <w:p w14:paraId="4224C9B2" w14:textId="185A7C5F" w:rsidR="00DC3099" w:rsidRDefault="00DC3099" w:rsidP="00A12F11">
      <w:pPr>
        <w:spacing w:before="240" w:line="276" w:lineRule="auto"/>
        <w:ind w:left="426" w:hanging="426"/>
        <w:jc w:val="right"/>
        <w:rPr>
          <w:rFonts w:ascii="Times New Roman" w:hAnsi="Times New Roman" w:cs="Times New Roman"/>
          <w:b/>
          <w:sz w:val="24"/>
          <w:szCs w:val="24"/>
        </w:rPr>
      </w:pPr>
    </w:p>
    <w:p w14:paraId="6261FFA8" w14:textId="6499C43E" w:rsidR="00DC3099" w:rsidRDefault="00DC3099" w:rsidP="00A12F11">
      <w:pPr>
        <w:spacing w:before="240" w:line="276" w:lineRule="auto"/>
        <w:ind w:left="426" w:hanging="426"/>
        <w:jc w:val="right"/>
        <w:rPr>
          <w:rFonts w:ascii="Times New Roman" w:hAnsi="Times New Roman" w:cs="Times New Roman"/>
          <w:b/>
          <w:sz w:val="24"/>
          <w:szCs w:val="24"/>
        </w:rPr>
      </w:pPr>
    </w:p>
    <w:p w14:paraId="7A0A7428" w14:textId="7E172979" w:rsidR="00DC3099" w:rsidRDefault="00DC3099" w:rsidP="00A12F11">
      <w:pPr>
        <w:spacing w:before="240" w:line="276" w:lineRule="auto"/>
        <w:ind w:left="426" w:hanging="426"/>
        <w:jc w:val="right"/>
        <w:rPr>
          <w:rFonts w:ascii="Times New Roman" w:hAnsi="Times New Roman" w:cs="Times New Roman"/>
          <w:b/>
          <w:sz w:val="24"/>
          <w:szCs w:val="24"/>
        </w:rPr>
      </w:pPr>
    </w:p>
    <w:p w14:paraId="599F0C67" w14:textId="45ABB897" w:rsidR="00DC3099" w:rsidRDefault="00DC3099" w:rsidP="00A12F11">
      <w:pPr>
        <w:spacing w:before="240" w:line="276" w:lineRule="auto"/>
        <w:ind w:left="426" w:hanging="426"/>
        <w:jc w:val="right"/>
        <w:rPr>
          <w:rFonts w:ascii="Times New Roman" w:hAnsi="Times New Roman" w:cs="Times New Roman"/>
          <w:b/>
          <w:sz w:val="24"/>
          <w:szCs w:val="24"/>
        </w:rPr>
      </w:pPr>
    </w:p>
    <w:p w14:paraId="67D54548" w14:textId="7BCFBF7B" w:rsidR="00DC3099" w:rsidRDefault="00DC3099" w:rsidP="00A12F11">
      <w:pPr>
        <w:spacing w:before="240" w:line="276" w:lineRule="auto"/>
        <w:ind w:left="426" w:hanging="426"/>
        <w:jc w:val="right"/>
        <w:rPr>
          <w:rFonts w:ascii="Times New Roman" w:hAnsi="Times New Roman" w:cs="Times New Roman"/>
          <w:b/>
          <w:sz w:val="24"/>
          <w:szCs w:val="24"/>
        </w:rPr>
      </w:pPr>
    </w:p>
    <w:p w14:paraId="6BF1DA33" w14:textId="384CD4EF" w:rsidR="00DC3099" w:rsidRDefault="00DC3099" w:rsidP="00A12F11">
      <w:pPr>
        <w:spacing w:before="240" w:line="276" w:lineRule="auto"/>
        <w:ind w:left="426" w:hanging="426"/>
        <w:jc w:val="right"/>
        <w:rPr>
          <w:rFonts w:ascii="Times New Roman" w:hAnsi="Times New Roman" w:cs="Times New Roman"/>
          <w:b/>
          <w:sz w:val="24"/>
          <w:szCs w:val="24"/>
        </w:rPr>
      </w:pPr>
    </w:p>
    <w:p w14:paraId="769198C8" w14:textId="4A9F2731" w:rsidR="00DC3099" w:rsidRDefault="00DC3099" w:rsidP="00A12F11">
      <w:pPr>
        <w:spacing w:before="240" w:line="276" w:lineRule="auto"/>
        <w:ind w:left="426" w:hanging="426"/>
        <w:jc w:val="right"/>
        <w:rPr>
          <w:rFonts w:ascii="Times New Roman" w:hAnsi="Times New Roman" w:cs="Times New Roman"/>
          <w:b/>
          <w:sz w:val="24"/>
          <w:szCs w:val="24"/>
        </w:rPr>
      </w:pPr>
    </w:p>
    <w:p w14:paraId="56AF6A6D" w14:textId="2292B975" w:rsidR="00DC3099" w:rsidRDefault="00DC3099" w:rsidP="00A12F11">
      <w:pPr>
        <w:spacing w:before="240" w:line="276" w:lineRule="auto"/>
        <w:ind w:left="426" w:hanging="426"/>
        <w:jc w:val="right"/>
        <w:rPr>
          <w:rFonts w:ascii="Times New Roman" w:hAnsi="Times New Roman" w:cs="Times New Roman"/>
          <w:b/>
          <w:sz w:val="24"/>
          <w:szCs w:val="24"/>
        </w:rPr>
      </w:pPr>
    </w:p>
    <w:p w14:paraId="71E17985" w14:textId="71FFD01C" w:rsidR="00DC3099" w:rsidRDefault="00DC3099" w:rsidP="00A12F11">
      <w:pPr>
        <w:spacing w:before="240" w:line="276" w:lineRule="auto"/>
        <w:ind w:left="426" w:hanging="426"/>
        <w:jc w:val="right"/>
        <w:rPr>
          <w:rFonts w:ascii="Times New Roman" w:hAnsi="Times New Roman" w:cs="Times New Roman"/>
          <w:b/>
          <w:sz w:val="24"/>
          <w:szCs w:val="24"/>
        </w:rPr>
      </w:pPr>
    </w:p>
    <w:p w14:paraId="7DDFB87B" w14:textId="0AB53FB2" w:rsidR="00DC3099" w:rsidRDefault="00DC3099" w:rsidP="00A12F11">
      <w:pPr>
        <w:spacing w:before="240" w:line="276" w:lineRule="auto"/>
        <w:ind w:left="426" w:hanging="426"/>
        <w:jc w:val="right"/>
        <w:rPr>
          <w:rFonts w:ascii="Times New Roman" w:hAnsi="Times New Roman" w:cs="Times New Roman"/>
          <w:b/>
          <w:sz w:val="24"/>
          <w:szCs w:val="24"/>
        </w:rPr>
      </w:pPr>
    </w:p>
    <w:p w14:paraId="665950A0" w14:textId="77777777" w:rsidR="00DC3099" w:rsidRDefault="00DC3099" w:rsidP="00A12F11">
      <w:pPr>
        <w:spacing w:before="240" w:line="276" w:lineRule="auto"/>
        <w:ind w:left="426" w:hanging="426"/>
        <w:jc w:val="right"/>
        <w:rPr>
          <w:rFonts w:ascii="Times New Roman" w:hAnsi="Times New Roman" w:cs="Times New Roman"/>
          <w:b/>
          <w:sz w:val="24"/>
          <w:szCs w:val="24"/>
        </w:rPr>
      </w:pPr>
    </w:p>
    <w:p w14:paraId="6AE5470B" w14:textId="1D1EA4E1"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5</w:t>
      </w:r>
    </w:p>
    <w:p w14:paraId="78E372B2" w14:textId="23554CF2" w:rsidR="001D77FA" w:rsidRPr="00A12F11" w:rsidRDefault="001D77FA" w:rsidP="00A12F11">
      <w:pPr>
        <w:pStyle w:val="11"/>
        <w:spacing w:before="240" w:after="160" w:line="276" w:lineRule="auto"/>
        <w:ind w:left="426" w:hanging="426"/>
        <w:jc w:val="center"/>
        <w:rPr>
          <w:rFonts w:ascii="Times New Roman" w:hAnsi="Times New Roman" w:cs="Times New Roman"/>
          <w:b/>
          <w:caps/>
          <w:color w:val="000000" w:themeColor="text1"/>
          <w:sz w:val="24"/>
          <w:szCs w:val="24"/>
        </w:rPr>
      </w:pPr>
      <w:bookmarkStart w:id="4" w:name="_Hlk74832835"/>
      <w:r w:rsidRPr="00A12F11">
        <w:rPr>
          <w:rFonts w:ascii="Times New Roman" w:hAnsi="Times New Roman" w:cs="Times New Roman"/>
          <w:b/>
          <w:caps/>
          <w:color w:val="000000" w:themeColor="text1"/>
          <w:sz w:val="24"/>
          <w:szCs w:val="24"/>
        </w:rPr>
        <w:t>МетодИКА ОПРЕДЕЛЕНИЯ справедливой стоимости активов с учетом кредитных рисков</w:t>
      </w:r>
    </w:p>
    <w:bookmarkEnd w:id="4"/>
    <w:p w14:paraId="3C8B3AAD" w14:textId="77777777" w:rsidR="001D77FA" w:rsidRPr="00A12F11" w:rsidRDefault="001D77FA" w:rsidP="00A12F11">
      <w:pPr>
        <w:pStyle w:val="a0"/>
        <w:numPr>
          <w:ilvl w:val="0"/>
          <w:numId w:val="0"/>
        </w:numPr>
        <w:spacing w:before="240" w:after="160" w:line="276" w:lineRule="auto"/>
        <w:ind w:left="426" w:hanging="426"/>
        <w:rPr>
          <w:szCs w:val="24"/>
        </w:rPr>
      </w:pPr>
      <w:r w:rsidRPr="00A12F11">
        <w:rPr>
          <w:szCs w:val="24"/>
        </w:rPr>
        <w:t>Общие положения</w:t>
      </w:r>
    </w:p>
    <w:p w14:paraId="4456D7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292CBC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стандартные (без признаков обесценения);</w:t>
      </w:r>
    </w:p>
    <w:p w14:paraId="64A196E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обесцененные (без наступления дефолта);</w:t>
      </w:r>
    </w:p>
    <w:p w14:paraId="2627A3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активы, находящиеся в дефолте.</w:t>
      </w:r>
    </w:p>
    <w:p w14:paraId="59BBB9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1B95E89"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4DE3C82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Стандартные активы (без признаков обесценения),</w:t>
      </w:r>
      <w:r w:rsidRPr="00A12F11">
        <w:rPr>
          <w:rFonts w:ascii="Times New Roman" w:hAnsi="Times New Roman" w:cs="Times New Roman"/>
          <w:sz w:val="24"/>
          <w:szCs w:val="24"/>
        </w:rPr>
        <w:t xml:space="preserve"> а именно:</w:t>
      </w:r>
    </w:p>
    <w:p w14:paraId="3682488D" w14:textId="009B733D"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договора займа и кредитного договора (в случае если займодавцем по договору выступает  Фонд);</w:t>
      </w:r>
    </w:p>
    <w:p w14:paraId="3F260E88" w14:textId="66A0937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43B8E6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Обесцененные (без наступления дефолта),</w:t>
      </w:r>
      <w:r w:rsidRPr="00A12F11">
        <w:rPr>
          <w:rFonts w:ascii="Times New Roman" w:hAnsi="Times New Roman" w:cs="Times New Roman"/>
          <w:sz w:val="24"/>
          <w:szCs w:val="24"/>
        </w:rPr>
        <w:t xml:space="preserve"> а именно:</w:t>
      </w:r>
    </w:p>
    <w:p w14:paraId="7BD2935A" w14:textId="3946582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Денежные средства на счетах и во вкладах;</w:t>
      </w:r>
    </w:p>
    <w:p w14:paraId="586BDBA8" w14:textId="5AB0DB9C"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Долговые инструменты (в случае отсутствия цен основного рынка, позволяющих определить справедливую стоимость на дату определения СЧА);</w:t>
      </w:r>
    </w:p>
    <w:p w14:paraId="3CD68E87" w14:textId="4DE5CAC9"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кредитных договоров и договоров займа (в случае, если займодавцем по договору выступает Фонд);</w:t>
      </w:r>
    </w:p>
    <w:p w14:paraId="0E26AA5C" w14:textId="03A1561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w:t>
      </w:r>
    </w:p>
    <w:p w14:paraId="7C6252AD" w14:textId="744FD1E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Активы, стоимость которых определяется на основании отчета </w:t>
      </w:r>
      <w:r w:rsidR="00C109A0" w:rsidRPr="00A12F11">
        <w:rPr>
          <w:rFonts w:ascii="Times New Roman" w:hAnsi="Times New Roman" w:cs="Times New Roman"/>
          <w:sz w:val="24"/>
          <w:szCs w:val="24"/>
        </w:rPr>
        <w:t>оценщика (</w:t>
      </w:r>
      <w:r w:rsidR="001D77FA" w:rsidRPr="00A12F11">
        <w:rPr>
          <w:rFonts w:ascii="Times New Roman" w:hAnsi="Times New Roman" w:cs="Times New Roman"/>
          <w:sz w:val="24"/>
          <w:szCs w:val="24"/>
        </w:rPr>
        <w:t xml:space="preserve">с </w:t>
      </w:r>
      <w:r w:rsidR="00C109A0" w:rsidRPr="00A12F11">
        <w:rPr>
          <w:rFonts w:ascii="Times New Roman" w:hAnsi="Times New Roman" w:cs="Times New Roman"/>
          <w:sz w:val="24"/>
          <w:szCs w:val="24"/>
        </w:rPr>
        <w:t>учетом положений</w:t>
      </w:r>
      <w:r w:rsidR="001D77FA" w:rsidRPr="00A12F11">
        <w:rPr>
          <w:rFonts w:ascii="Times New Roman" w:hAnsi="Times New Roman" w:cs="Times New Roman"/>
          <w:sz w:val="24"/>
          <w:szCs w:val="24"/>
        </w:rPr>
        <w:t xml:space="preserve">, установленных </w:t>
      </w:r>
      <w:r w:rsidR="001D77FA" w:rsidRPr="00A12F11">
        <w:rPr>
          <w:rFonts w:ascii="Times New Roman" w:hAnsi="Times New Roman" w:cs="Times New Roman"/>
          <w:sz w:val="24"/>
          <w:szCs w:val="24"/>
          <w:u w:val="single"/>
        </w:rPr>
        <w:t>в Разделе 7 настоящего приложения</w:t>
      </w:r>
      <w:r w:rsidR="001D77FA" w:rsidRPr="00A12F11">
        <w:rPr>
          <w:rFonts w:ascii="Times New Roman" w:hAnsi="Times New Roman" w:cs="Times New Roman"/>
          <w:sz w:val="24"/>
          <w:szCs w:val="24"/>
        </w:rPr>
        <w:t>).</w:t>
      </w:r>
    </w:p>
    <w:p w14:paraId="2B9EF0B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Активы, находящиеся в дефолте</w:t>
      </w:r>
      <w:r w:rsidRPr="00A12F11">
        <w:rPr>
          <w:rFonts w:ascii="Times New Roman" w:hAnsi="Times New Roman" w:cs="Times New Roman"/>
          <w:sz w:val="24"/>
          <w:szCs w:val="24"/>
        </w:rPr>
        <w:t>, а именно:</w:t>
      </w:r>
    </w:p>
    <w:p w14:paraId="0B869B5E" w14:textId="5422D69B"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Все виды активов, находящиеся в дефолте.</w:t>
      </w:r>
    </w:p>
    <w:p w14:paraId="00E2B7A5" w14:textId="15C7CBDB"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sidDel="00B00538">
        <w:rPr>
          <w:rFonts w:ascii="Times New Roman" w:hAnsi="Times New Roman" w:cs="Times New Roman"/>
          <w:sz w:val="24"/>
          <w:szCs w:val="24"/>
        </w:rPr>
        <w:t xml:space="preserve"> </w:t>
      </w:r>
      <w:r w:rsidRPr="00A12F11">
        <w:rPr>
          <w:rFonts w:ascii="Times New Roman" w:hAnsi="Times New Roman" w:cs="Times New Roman"/>
          <w:sz w:val="24"/>
          <w:szCs w:val="24"/>
        </w:rPr>
        <w:t xml:space="preserve">Для целей настоящей методики, контрагенты – индивидуальные предприниматели приравниваются к контрагентам – </w:t>
      </w:r>
      <w:r w:rsidR="00C109A0" w:rsidRPr="00A12F11">
        <w:rPr>
          <w:rFonts w:ascii="Times New Roman" w:hAnsi="Times New Roman" w:cs="Times New Roman"/>
          <w:sz w:val="24"/>
          <w:szCs w:val="24"/>
        </w:rPr>
        <w:t>физическим лицам</w:t>
      </w:r>
      <w:r w:rsidRPr="00A12F11">
        <w:rPr>
          <w:rFonts w:ascii="Times New Roman" w:hAnsi="Times New Roman" w:cs="Times New Roman"/>
          <w:sz w:val="24"/>
          <w:szCs w:val="24"/>
        </w:rPr>
        <w:t>.</w:t>
      </w:r>
    </w:p>
    <w:p w14:paraId="5AD2E982" w14:textId="3B934673" w:rsidR="001D77FA" w:rsidRPr="00A12F11" w:rsidRDefault="001D77FA" w:rsidP="00A12F11">
      <w:pPr>
        <w:spacing w:before="240" w:line="276" w:lineRule="auto"/>
        <w:ind w:left="426" w:hanging="426"/>
        <w:jc w:val="both"/>
        <w:rPr>
          <w:rFonts w:ascii="Times New Roman" w:hAnsi="Times New Roman" w:cs="Times New Roman"/>
          <w:b/>
          <w:color w:val="C00000"/>
          <w:sz w:val="24"/>
          <w:szCs w:val="24"/>
        </w:rPr>
      </w:pPr>
      <w:r w:rsidRPr="00A12F11">
        <w:rPr>
          <w:rFonts w:ascii="Times New Roman" w:hAnsi="Times New Roman" w:cs="Times New Roman"/>
          <w:b/>
          <w:color w:val="000000" w:themeColor="text1"/>
          <w:sz w:val="24"/>
          <w:szCs w:val="24"/>
        </w:rPr>
        <w:t>Термины и определения, используемые в настоящем Приложении</w:t>
      </w:r>
    </w:p>
    <w:p w14:paraId="68550E7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46CCB87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Безрисковая ставка:</w:t>
      </w:r>
    </w:p>
    <w:p w14:paraId="36CE903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российских рублях: </w:t>
      </w:r>
    </w:p>
    <w:p w14:paraId="2D806587" w14:textId="7FBA509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со сроком до погашения, не превышающим 1 календарный день – ставка </w:t>
      </w:r>
      <w:r w:rsidRPr="00A12F11">
        <w:rPr>
          <w:rFonts w:ascii="Times New Roman" w:hAnsi="Times New Roman" w:cs="Times New Roman"/>
          <w:sz w:val="24"/>
          <w:szCs w:val="24"/>
          <w:lang w:val="en-US"/>
        </w:rPr>
        <w:t>Mosprime</w:t>
      </w:r>
      <w:r w:rsidR="00ED57AA" w:rsidRPr="00A12F11">
        <w:rPr>
          <w:rFonts w:ascii="Times New Roman" w:hAnsi="Times New Roman" w:cs="Times New Roman"/>
          <w:sz w:val="24"/>
          <w:szCs w:val="24"/>
        </w:rPr>
        <w:t xml:space="preserve"> (</w:t>
      </w:r>
      <w:hyperlink r:id="rId52" w:history="1">
        <w:r w:rsidR="00ED57AA" w:rsidRPr="00A12F11">
          <w:rPr>
            <w:rStyle w:val="aff4"/>
            <w:rFonts w:ascii="Times New Roman" w:hAnsi="Times New Roman" w:cs="Times New Roman"/>
            <w:sz w:val="24"/>
            <w:szCs w:val="24"/>
          </w:rPr>
          <w:t>https://cbr.ru/hd_base/mosprime/</w:t>
        </w:r>
      </w:hyperlink>
      <w:r w:rsidR="00ED57AA" w:rsidRPr="00A12F11">
        <w:rPr>
          <w:rFonts w:ascii="Times New Roman" w:hAnsi="Times New Roman" w:cs="Times New Roman"/>
          <w:sz w:val="24"/>
          <w:szCs w:val="24"/>
        </w:rPr>
        <w:t>)</w:t>
      </w:r>
      <w:r w:rsidRPr="00A12F11">
        <w:rPr>
          <w:rFonts w:ascii="Times New Roman" w:hAnsi="Times New Roman" w:cs="Times New Roman"/>
          <w:sz w:val="24"/>
          <w:szCs w:val="24"/>
        </w:rPr>
        <w:t>;</w:t>
      </w:r>
    </w:p>
    <w:p w14:paraId="31C3BF1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3D85AC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безрисковой ставки, используются следующие округления:</w:t>
      </w:r>
    </w:p>
    <w:p w14:paraId="4C39214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-Значение срока ставки определяется до 4 знаков после запятой;</w:t>
      </w:r>
    </w:p>
    <w:p w14:paraId="07DA3BA1" w14:textId="3E10EB80"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-Итоговое значение ставки определяется до 2 знаков после запятой.</w:t>
      </w:r>
    </w:p>
    <w:p w14:paraId="5A2E56B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американских долларах:  </w:t>
      </w:r>
    </w:p>
    <w:p w14:paraId="3EC2AD4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SOFR(</w:t>
      </w:r>
      <w:hyperlink r:id="rId53" w:history="1">
        <w:r w:rsidRPr="00A12F11">
          <w:rPr>
            <w:rStyle w:val="aff4"/>
            <w:rFonts w:ascii="Times New Roman" w:hAnsi="Times New Roman" w:cs="Times New Roman"/>
            <w:sz w:val="24"/>
            <w:szCs w:val="24"/>
          </w:rPr>
          <w:t>https://www.sofrrate.com/</w:t>
        </w:r>
      </w:hyperlink>
      <w:r w:rsidRPr="00A12F11">
        <w:rPr>
          <w:rFonts w:ascii="Times New Roman" w:hAnsi="Times New Roman" w:cs="Times New Roman"/>
          <w:sz w:val="24"/>
          <w:szCs w:val="24"/>
        </w:rPr>
        <w:t>);</w:t>
      </w:r>
    </w:p>
    <w:p w14:paraId="4D7DAEF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12F11">
        <w:rPr>
          <w:rStyle w:val="aff7"/>
          <w:rFonts w:ascii="Times New Roman" w:hAnsi="Times New Roman" w:cs="Times New Roman"/>
          <w:sz w:val="24"/>
          <w:szCs w:val="24"/>
        </w:rPr>
        <w:footnoteReference w:id="5"/>
      </w:r>
      <w:r w:rsidRPr="00A12F11">
        <w:rPr>
          <w:rFonts w:ascii="Times New Roman" w:hAnsi="Times New Roman" w:cs="Times New Roman"/>
          <w:sz w:val="24"/>
          <w:szCs w:val="24"/>
        </w:rPr>
        <w:t xml:space="preserve"> на срок 1 месяц.</w:t>
      </w:r>
    </w:p>
    <w:p w14:paraId="354874C4" w14:textId="2052C53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37B456F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евро:</w:t>
      </w:r>
    </w:p>
    <w:p w14:paraId="7910385D" w14:textId="226591D9"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ESTR (</w:t>
      </w:r>
      <w:hyperlink r:id="rId54" w:history="1">
        <w:r w:rsidRPr="00A12F11">
          <w:rPr>
            <w:rStyle w:val="aff4"/>
            <w:rFonts w:ascii="Times New Roman" w:hAnsi="Times New Roman" w:cs="Times New Roman"/>
            <w:sz w:val="24"/>
            <w:szCs w:val="24"/>
          </w:rPr>
          <w:t>https://www.ecb.europa.eu/stats/financial_markets_and_interest_rates/euro_short-term_rate/html/index.en.html</w:t>
        </w:r>
      </w:hyperlink>
      <w:r w:rsidRPr="00A12F11">
        <w:rPr>
          <w:rFonts w:ascii="Times New Roman" w:hAnsi="Times New Roman" w:cs="Times New Roman"/>
          <w:sz w:val="24"/>
          <w:szCs w:val="24"/>
        </w:rPr>
        <w:t>);</w:t>
      </w:r>
    </w:p>
    <w:p w14:paraId="7E4F44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12F11">
        <w:rPr>
          <w:rStyle w:val="aff7"/>
          <w:rFonts w:ascii="Times New Roman" w:hAnsi="Times New Roman" w:cs="Times New Roman"/>
          <w:sz w:val="24"/>
          <w:szCs w:val="24"/>
        </w:rPr>
        <w:footnoteReference w:id="6"/>
      </w:r>
      <w:r w:rsidRPr="00A12F11">
        <w:rPr>
          <w:rFonts w:ascii="Times New Roman" w:hAnsi="Times New Roman" w:cs="Times New Roman"/>
          <w:sz w:val="24"/>
          <w:szCs w:val="24"/>
        </w:rPr>
        <w:t xml:space="preserve"> на срок 3 месяца.</w:t>
      </w:r>
    </w:p>
    <w:p w14:paraId="3C8E8915" w14:textId="6DA705B8" w:rsidR="007600DC"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3F788B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1. Формула линейной интерполяции</w:t>
      </w:r>
    </w:p>
    <w:p w14:paraId="0E8F37A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756024B" w14:textId="77777777" w:rsidR="001D77FA" w:rsidRPr="00A12F11" w:rsidRDefault="00421381" w:rsidP="00A12F11">
      <w:pPr>
        <w:spacing w:before="240" w:line="276" w:lineRule="auto"/>
        <w:ind w:left="426" w:hanging="426"/>
        <w:jc w:val="both"/>
        <w:rPr>
          <w:rFonts w:ascii="Times New Roman" w:hAnsi="Times New Roman" w:cs="Times New Roman"/>
          <w:b/>
          <w:i/>
          <w:sz w:val="24"/>
          <w:szCs w:val="24"/>
        </w:rPr>
      </w:pPr>
      <m:oMathPara>
        <m:oMath>
          <m:d>
            <m:dPr>
              <m:begChr m:val="{"/>
              <m:endChr m:val=""/>
              <m:ctrlPr>
                <w:rPr>
                  <w:rFonts w:ascii="Cambria Math" w:hAnsi="Cambria Math" w:cs="Times New Roman"/>
                  <w:b/>
                  <w:i/>
                  <w:sz w:val="24"/>
                  <w:szCs w:val="24"/>
                </w:rPr>
              </m:ctrlPr>
            </m:dPr>
            <m:e>
              <m:eqArr>
                <m:eqArrPr>
                  <m:ctrlPr>
                    <w:rPr>
                      <w:rFonts w:ascii="Cambria Math" w:hAnsi="Cambria Math" w:cs="Times New Roman"/>
                      <w:b/>
                      <w:i/>
                      <w:sz w:val="24"/>
                      <w:szCs w:val="24"/>
                    </w:rPr>
                  </m:ctrlPr>
                </m:eqArrPr>
                <m:e>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RK</m:t>
                      </m:r>
                    </m:e>
                    <m:sub>
                      <m:r>
                        <m:rPr>
                          <m:sty m:val="bi"/>
                        </m:rPr>
                        <w:rPr>
                          <w:rFonts w:ascii="Cambria Math" w:hAnsi="Cambria Math" w:cs="Times New Roman"/>
                          <w:sz w:val="24"/>
                          <w:szCs w:val="24"/>
                          <w:lang w:val="en-US"/>
                        </w:rPr>
                        <m:t>Dmin</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V+1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e>
                  </m:d>
                  <m:r>
                    <m:rPr>
                      <m:sty m:val="bi"/>
                    </m:rPr>
                    <w:rPr>
                      <w:rFonts w:ascii="Cambria Math" w:hAnsi="Cambria Math" w:cs="Times New Roman"/>
                      <w:sz w:val="24"/>
                      <w:szCs w:val="24"/>
                    </w:rPr>
                    <m:t xml:space="preserve"> ,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max</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Dmax</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max</m:t>
                      </m:r>
                    </m:sub>
                  </m:sSub>
                </m:e>
              </m:eqArr>
            </m:e>
          </m:d>
        </m:oMath>
      </m:oMathPara>
    </w:p>
    <w:p w14:paraId="29A2B2D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1B2BE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w:t>
      </w:r>
      <w:r w:rsidRPr="00A12F11">
        <w:rPr>
          <w:rFonts w:ascii="Times New Roman" w:hAnsi="Times New Roman" w:cs="Times New Roman"/>
          <w:sz w:val="24"/>
          <w:szCs w:val="24"/>
        </w:rPr>
        <w:t xml:space="preserve"> - срок до погашения инструмента m в годах;</w:t>
      </w:r>
    </w:p>
    <w:p w14:paraId="2152D95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min</w:t>
      </w:r>
      <w:r w:rsidRPr="00A12F11">
        <w:rPr>
          <w:rFonts w:ascii="Times New Roman" w:hAnsi="Times New Roman" w:cs="Times New Roman"/>
          <w:b/>
          <w:sz w:val="24"/>
          <w:szCs w:val="24"/>
        </w:rPr>
        <w:t>, D</w:t>
      </w:r>
      <w:r w:rsidRPr="00A12F11">
        <w:rPr>
          <w:rFonts w:ascii="Times New Roman" w:hAnsi="Times New Roman" w:cs="Times New Roman"/>
          <w:b/>
          <w:sz w:val="24"/>
          <w:szCs w:val="24"/>
          <w:vertAlign w:val="subscript"/>
        </w:rPr>
        <w:t>max</w:t>
      </w:r>
      <w:r w:rsidRPr="00A12F11">
        <w:rPr>
          <w:rFonts w:ascii="Times New Roman" w:hAnsi="Times New Roman" w:cs="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0267EF1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V</w:t>
      </w:r>
      <w:r w:rsidRPr="00A12F11">
        <w:rPr>
          <w:rFonts w:ascii="Times New Roman" w:hAnsi="Times New Roman" w:cs="Times New Roman"/>
          <w:b/>
          <w:sz w:val="24"/>
          <w:szCs w:val="24"/>
          <w:vertAlign w:val="subscript"/>
        </w:rPr>
        <w:t>+1</w:t>
      </w:r>
      <w:r w:rsidRPr="00A12F11">
        <w:rPr>
          <w:rFonts w:ascii="Times New Roman" w:hAnsi="Times New Roman" w:cs="Times New Roman"/>
          <w:b/>
          <w:sz w:val="24"/>
          <w:szCs w:val="24"/>
        </w:rPr>
        <w:t>, V</w:t>
      </w:r>
      <w:r w:rsidRPr="00A12F11">
        <w:rPr>
          <w:rFonts w:ascii="Times New Roman" w:hAnsi="Times New Roman" w:cs="Times New Roman"/>
          <w:b/>
          <w:sz w:val="24"/>
          <w:szCs w:val="24"/>
          <w:vertAlign w:val="subscript"/>
        </w:rPr>
        <w:t>-1</w:t>
      </w:r>
      <w:r w:rsidRPr="00A12F11">
        <w:rPr>
          <w:rFonts w:ascii="Times New Roman" w:hAnsi="Times New Roman" w:cs="Times New Roman"/>
          <w:sz w:val="24"/>
          <w:szCs w:val="24"/>
        </w:rPr>
        <w:t xml:space="preserve"> – наиболее близкий к </w:t>
      </w:r>
      <w:r w:rsidRPr="00A12F11">
        <w:rPr>
          <w:rFonts w:ascii="Times New Roman" w:hAnsi="Times New Roman" w:cs="Times New Roman"/>
          <w:sz w:val="24"/>
          <w:szCs w:val="24"/>
          <w:lang w:val="en-US"/>
        </w:rPr>
        <w:t>D</w:t>
      </w:r>
      <w:r w:rsidRPr="00A12F11">
        <w:rPr>
          <w:rFonts w:ascii="Times New Roman" w:hAnsi="Times New Roman" w:cs="Times New Roman"/>
          <w:sz w:val="24"/>
          <w:szCs w:val="24"/>
          <w:vertAlign w:val="subscript"/>
          <w:lang w:val="en-US"/>
        </w:rPr>
        <w:t>m</w:t>
      </w:r>
      <w:r w:rsidRPr="00A12F11">
        <w:rPr>
          <w:rFonts w:ascii="Times New Roman" w:hAnsi="Times New Roman" w:cs="Times New Roman"/>
          <w:sz w:val="24"/>
          <w:szCs w:val="24"/>
        </w:rPr>
        <w:t xml:space="preserve"> срок, на который известно значение кривой бескупонной доходности, не превышающий (превышающий) D</w:t>
      </w:r>
      <w:r w:rsidRPr="00A12F11">
        <w:rPr>
          <w:rFonts w:ascii="Times New Roman" w:hAnsi="Times New Roman" w:cs="Times New Roman"/>
          <w:sz w:val="24"/>
          <w:szCs w:val="24"/>
          <w:vertAlign w:val="subscript"/>
        </w:rPr>
        <w:t>m</w:t>
      </w:r>
      <w:r w:rsidRPr="00A12F11">
        <w:rPr>
          <w:rFonts w:ascii="Times New Roman" w:hAnsi="Times New Roman" w:cs="Times New Roman"/>
          <w:sz w:val="24"/>
          <w:szCs w:val="24"/>
        </w:rPr>
        <w:t>, в годах;</w:t>
      </w:r>
    </w:p>
    <w:p w14:paraId="684CFA95" w14:textId="77777777" w:rsidR="001D77FA" w:rsidRPr="00A12F11" w:rsidRDefault="001D77FA" w:rsidP="00A12F11">
      <w:pPr>
        <w:spacing w:before="240" w:line="276" w:lineRule="auto"/>
        <w:ind w:left="426" w:hanging="426"/>
        <w:jc w:val="both"/>
        <w:rPr>
          <w:rFonts w:ascii="Times New Roman" w:hAnsi="Times New Roman" w:cs="Times New Roman"/>
          <w:sz w:val="24"/>
          <w:szCs w:val="24"/>
          <w:vertAlign w:val="subscript"/>
        </w:rPr>
      </w:pPr>
      <w:r w:rsidRPr="00A12F11">
        <w:rPr>
          <w:rFonts w:ascii="Times New Roman" w:hAnsi="Times New Roman" w:cs="Times New Roman"/>
          <w:b/>
          <w:sz w:val="24"/>
          <w:szCs w:val="24"/>
        </w:rPr>
        <w:t>RK(</w:t>
      </w:r>
      <w:r w:rsidRPr="00A12F11">
        <w:rPr>
          <w:rFonts w:ascii="Times New Roman" w:hAnsi="Times New Roman" w:cs="Times New Roman"/>
          <w:b/>
          <w:sz w:val="24"/>
          <w:szCs w:val="24"/>
          <w:lang w:val="en-US"/>
        </w:rPr>
        <w:t>T</w:t>
      </w:r>
      <w:r w:rsidRPr="00A12F11">
        <w:rPr>
          <w:rFonts w:ascii="Times New Roman" w:hAnsi="Times New Roman" w:cs="Times New Roman"/>
          <w:b/>
          <w:sz w:val="24"/>
          <w:szCs w:val="24"/>
        </w:rPr>
        <w:t xml:space="preserve">) </w:t>
      </w:r>
      <w:r w:rsidRPr="00A12F11">
        <w:rPr>
          <w:rFonts w:ascii="Times New Roman" w:hAnsi="Times New Roman" w:cs="Times New Roman"/>
          <w:sz w:val="24"/>
          <w:szCs w:val="24"/>
        </w:rPr>
        <w:t xml:space="preserve">– уровень процентных ставок для срока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где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может принимать значения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Dmin</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Dmax</w:t>
      </w:r>
      <w:r w:rsidRPr="00A12F11">
        <w:rPr>
          <w:rFonts w:ascii="Times New Roman" w:hAnsi="Times New Roman" w:cs="Times New Roman"/>
          <w:sz w:val="24"/>
          <w:szCs w:val="24"/>
        </w:rPr>
        <w:t>.</w:t>
      </w:r>
    </w:p>
    <w:p w14:paraId="6C36182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PD (вероятность дефолта) по активу</w:t>
      </w:r>
      <w:r w:rsidRPr="00A12F11">
        <w:rPr>
          <w:rFonts w:ascii="Times New Roman" w:hAnsi="Times New Roman" w:cs="Times New Roman"/>
          <w:sz w:val="24"/>
          <w:szCs w:val="24"/>
        </w:rPr>
        <w:t xml:space="preserve"> – оценка вероятности наступления события дефолта. Порядок определения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установлен в разделе 4 настоящего Приложения.</w:t>
      </w:r>
    </w:p>
    <w:p w14:paraId="724A2BF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LGD (loss given default)</w:t>
      </w:r>
      <w:r w:rsidRPr="00A12F11">
        <w:rPr>
          <w:rFonts w:ascii="Times New Roman" w:hAnsi="Times New Roman" w:cs="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установлен в разделе 5 настоящего Приложения.</w:t>
      </w:r>
    </w:p>
    <w:p w14:paraId="2286B1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lang w:val="en-US"/>
        </w:rPr>
        <w:t>CoR</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Cost</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of</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Risk</w:t>
      </w:r>
      <w:r w:rsidRPr="00A12F11">
        <w:rPr>
          <w:rFonts w:ascii="Times New Roman" w:hAnsi="Times New Roman" w:cs="Times New Roman"/>
          <w:b/>
          <w:sz w:val="24"/>
          <w:szCs w:val="24"/>
        </w:rPr>
        <w:t>, стоимость риска)</w:t>
      </w:r>
      <w:r w:rsidRPr="00A12F11">
        <w:rPr>
          <w:rFonts w:ascii="Times New Roman" w:hAnsi="Times New Roman" w:cs="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r w:rsidRPr="00A12F11">
        <w:rPr>
          <w:rFonts w:ascii="Times New Roman" w:hAnsi="Times New Roman" w:cs="Times New Roman"/>
          <w:sz w:val="24"/>
          <w:szCs w:val="24"/>
          <w:lang w:val="en-US"/>
        </w:rPr>
        <w:t>CoR</w:t>
      </w:r>
      <w:r w:rsidRPr="00A12F11">
        <w:rPr>
          <w:rFonts w:ascii="Times New Roman" w:hAnsi="Times New Roman" w:cs="Times New Roman"/>
          <w:sz w:val="24"/>
          <w:szCs w:val="24"/>
        </w:rPr>
        <w:t xml:space="preserve"> установлен в разделе 6 настоящего Приложения. </w:t>
      </w:r>
    </w:p>
    <w:p w14:paraId="2457297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3EDDDA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bCs/>
          <w:iCs/>
          <w:sz w:val="24"/>
          <w:szCs w:val="24"/>
        </w:rPr>
        <w:t>Кредитный рейтинг</w:t>
      </w:r>
      <w:r w:rsidRPr="00A12F11">
        <w:rPr>
          <w:rFonts w:ascii="Times New Roman" w:hAnsi="Times New Roman" w:cs="Times New Roman"/>
          <w:bCs/>
          <w:i/>
          <w:iCs/>
          <w:sz w:val="24"/>
          <w:szCs w:val="24"/>
        </w:rPr>
        <w:t xml:space="preserve"> – </w:t>
      </w:r>
      <w:r w:rsidRPr="00A12F11">
        <w:rPr>
          <w:rFonts w:ascii="Times New Roman" w:hAnsi="Times New Roman" w:cs="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01328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5A0785D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6DA629B2"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Standard &amp; Poor's</w:t>
      </w:r>
    </w:p>
    <w:p w14:paraId="1A9A926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EEE29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05769F2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32C48A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Общество с ограниченной ответственностью «Национальное Рейтинговое Агентство» </w:t>
      </w:r>
      <w:r w:rsidRPr="00A12F11">
        <w:rPr>
          <w:rFonts w:ascii="Times New Roman" w:hAnsi="Times New Roman" w:cs="Times New Roman"/>
          <w:sz w:val="24"/>
          <w:szCs w:val="24"/>
        </w:rPr>
        <w:tab/>
        <w:t>(ООО «НРА»)</w:t>
      </w:r>
    </w:p>
    <w:p w14:paraId="38F43AE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Общество с ограниченной ответственностью «Национальные Кредитные Рейтинги»</w:t>
      </w:r>
      <w:r w:rsidRPr="00A12F11">
        <w:rPr>
          <w:rFonts w:ascii="Times New Roman" w:hAnsi="Times New Roman" w:cs="Times New Roman"/>
          <w:sz w:val="24"/>
          <w:szCs w:val="24"/>
        </w:rPr>
        <w:tab/>
        <w:t>(ООО «НКР»)</w:t>
      </w:r>
    </w:p>
    <w:p w14:paraId="0C858A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целях применения настоящей методики для определения уровня рейтинга с целью последующего определения величин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используется информация, полученная (опубликованная) от следующих рейтинговых агентств:</w:t>
      </w:r>
    </w:p>
    <w:p w14:paraId="7A236DD1"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3C38E163"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Standard &amp; Poor's</w:t>
      </w:r>
    </w:p>
    <w:p w14:paraId="6D2B738C"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FCA0D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63A57DDF" w14:textId="1C02851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5EDABC1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Ступень кредитного рейтинга (грейд)</w:t>
      </w:r>
      <w:r w:rsidRPr="00A12F11">
        <w:rPr>
          <w:rFonts w:ascii="Times New Roman" w:hAnsi="Times New Roman" w:cs="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086E7D4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68B9133" w14:textId="60F71CD6" w:rsidR="00337564"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Дефолт -</w:t>
      </w:r>
      <w:r w:rsidRPr="00A12F11">
        <w:rPr>
          <w:rFonts w:ascii="Times New Roman" w:hAnsi="Times New Roman" w:cs="Times New Roman"/>
          <w:sz w:val="24"/>
          <w:szCs w:val="24"/>
        </w:rPr>
        <w:t xml:space="preserve">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w:t>
      </w:r>
      <w:r w:rsidR="00337564" w:rsidRPr="00A12F11">
        <w:rPr>
          <w:rFonts w:ascii="Times New Roman" w:hAnsi="Times New Roman" w:cs="Times New Roman"/>
          <w:sz w:val="24"/>
          <w:szCs w:val="24"/>
        </w:rPr>
        <w:t>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p>
    <w:p w14:paraId="534E1603" w14:textId="388ADCA4" w:rsidR="00337564"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нарушение обязательств по выплате денежных средств или передаче прав, имущества перед кредиторами/заимодавцами;</w:t>
      </w:r>
    </w:p>
    <w:p w14:paraId="11C99644" w14:textId="27B9937C" w:rsidR="001D77FA"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06ECBC9" w14:textId="155BCFB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u w:val="single"/>
        </w:rPr>
        <w:t>Предельные сроки признания дефолта для различных видов задолженности указаны в п. 3.1.</w:t>
      </w:r>
    </w:p>
    <w:p w14:paraId="001A9FC2" w14:textId="7E3D81B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Операционная дебиторская задолженность</w:t>
      </w:r>
      <w:r w:rsidRPr="00A12F11">
        <w:rPr>
          <w:rFonts w:ascii="Times New Roman" w:hAnsi="Times New Roman" w:cs="Times New Roman"/>
          <w:sz w:val="24"/>
          <w:szCs w:val="24"/>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186F77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1.  Стандартные активы (без признаков обесценения)</w:t>
      </w:r>
    </w:p>
    <w:p w14:paraId="074AE852" w14:textId="1709C799" w:rsidR="001D77FA" w:rsidRPr="00A12F11" w:rsidRDefault="00C309FE" w:rsidP="00A12F11">
      <w:pPr>
        <w:spacing w:before="240" w:line="276" w:lineRule="auto"/>
        <w:ind w:left="426" w:hanging="426"/>
        <w:jc w:val="both"/>
        <w:rPr>
          <w:rFonts w:ascii="Times New Roman" w:hAnsi="Times New Roman" w:cs="Times New Roman"/>
          <w:sz w:val="24"/>
          <w:szCs w:val="24"/>
        </w:rPr>
      </w:pPr>
      <w:bookmarkStart w:id="5" w:name="_Hlk74833346"/>
      <w:r w:rsidRPr="00A12F11">
        <w:rPr>
          <w:rFonts w:ascii="Times New Roman" w:hAnsi="Times New Roman" w:cs="Times New Roman"/>
          <w:sz w:val="24"/>
          <w:szCs w:val="24"/>
          <w:u w:val="single"/>
        </w:rPr>
        <w:t xml:space="preserve">1.1 </w:t>
      </w:r>
      <w:r w:rsidR="001D77FA" w:rsidRPr="00A12F11">
        <w:rPr>
          <w:rFonts w:ascii="Times New Roman" w:hAnsi="Times New Roman" w:cs="Times New Roman"/>
          <w:sz w:val="24"/>
          <w:szCs w:val="24"/>
          <w:u w:val="single"/>
        </w:rPr>
        <w:t>Для операционной задолженности</w:t>
      </w:r>
      <w:r w:rsidR="001D77FA" w:rsidRPr="00A12F11">
        <w:rPr>
          <w:rFonts w:ascii="Times New Roman" w:hAnsi="Times New Roman" w:cs="Times New Roman"/>
          <w:sz w:val="24"/>
          <w:szCs w:val="24"/>
        </w:rPr>
        <w:t xml:space="preserve">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49740887" w14:textId="18A72813" w:rsidR="001D77FA" w:rsidRPr="00A12F11" w:rsidRDefault="00C309F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1.2 </w:t>
      </w:r>
      <w:r w:rsidR="001D77FA" w:rsidRPr="00A12F11">
        <w:rPr>
          <w:rFonts w:ascii="Times New Roman" w:hAnsi="Times New Roman" w:cs="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2 настоящих Правил определения СЧА) рассчитывается следующим образом:</w:t>
      </w:r>
    </w:p>
    <w:p w14:paraId="0377ECD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Формула 2</w:t>
      </w:r>
      <w:r w:rsidRPr="00A12F11">
        <w:rPr>
          <w:rFonts w:ascii="Times New Roman" w:hAnsi="Times New Roman" w:cs="Times New Roman"/>
          <w:sz w:val="24"/>
          <w:szCs w:val="24"/>
        </w:rPr>
        <w:t>:</w:t>
      </w:r>
    </w:p>
    <w:p w14:paraId="2AC61773"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m:oMath>
        <m:r>
          <w:rPr>
            <w:rFonts w:ascii="Cambria Math" w:eastAsia="Batang" w:hAnsi="Cambria Math" w:cs="Times New Roman"/>
            <w:sz w:val="24"/>
            <w:szCs w:val="24"/>
          </w:rPr>
          <m:t>PV=</m:t>
        </m:r>
        <m:nary>
          <m:naryPr>
            <m:chr m:val="∑"/>
            <m:limLoc m:val="undOvr"/>
            <m:ctrlPr>
              <w:rPr>
                <w:rFonts w:ascii="Cambria Math" w:eastAsia="Batang" w:hAnsi="Cambria Math" w:cs="Times New Roman"/>
                <w:i/>
                <w:sz w:val="24"/>
                <w:szCs w:val="24"/>
              </w:rPr>
            </m:ctrlPr>
          </m:naryPr>
          <m:sub>
            <m:r>
              <w:rPr>
                <w:rFonts w:ascii="Cambria Math" w:eastAsia="Batang" w:hAnsi="Cambria Math" w:cs="Times New Roman"/>
                <w:sz w:val="24"/>
                <w:szCs w:val="24"/>
              </w:rPr>
              <m:t>n=1</m:t>
            </m:r>
          </m:sub>
          <m:sup>
            <m:r>
              <w:rPr>
                <w:rFonts w:ascii="Cambria Math" w:eastAsia="Batang" w:hAnsi="Cambria Math" w:cs="Times New Roman"/>
                <w:sz w:val="24"/>
                <w:szCs w:val="24"/>
              </w:rPr>
              <m:t>N</m:t>
            </m:r>
          </m:sup>
          <m:e>
            <m:f>
              <m:fPr>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num>
              <m:den>
                <m:sSup>
                  <m:sSupPr>
                    <m:ctrlPr>
                      <w:rPr>
                        <w:rFonts w:ascii="Cambria Math" w:eastAsia="Batang" w:hAnsi="Cambria Math" w:cs="Times New Roman"/>
                        <w:i/>
                        <w:sz w:val="24"/>
                        <w:szCs w:val="24"/>
                      </w:rPr>
                    </m:ctrlPr>
                  </m:sSupPr>
                  <m:e>
                    <m:d>
                      <m:dPr>
                        <m:ctrlPr>
                          <w:rPr>
                            <w:rFonts w:ascii="Cambria Math" w:eastAsia="Batang" w:hAnsi="Cambria Math" w:cs="Times New Roman"/>
                            <w:i/>
                            <w:sz w:val="24"/>
                            <w:szCs w:val="24"/>
                          </w:rPr>
                        </m:ctrlPr>
                      </m:dPr>
                      <m:e>
                        <m:r>
                          <w:rPr>
                            <w:rFonts w:ascii="Cambria Math" w:eastAsia="Batang" w:hAnsi="Cambria Math" w:cs="Times New Roman"/>
                            <w:sz w:val="24"/>
                            <w:szCs w:val="24"/>
                          </w:rPr>
                          <m:t>1+</m:t>
                        </m:r>
                        <m:r>
                          <w:rPr>
                            <w:rFonts w:ascii="Cambria Math" w:eastAsia="Batang" w:hAnsi="Cambria Math" w:cs="Times New Roman"/>
                            <w:sz w:val="24"/>
                            <w:szCs w:val="24"/>
                            <w:lang w:val="en-US"/>
                          </w:rPr>
                          <m:t>R</m:t>
                        </m:r>
                        <m:r>
                          <w:rPr>
                            <w:rFonts w:ascii="Cambria Math" w:eastAsia="Batang" w:hAnsi="Cambria Math" w:cs="Times New Roman"/>
                            <w:sz w:val="24"/>
                            <w:szCs w:val="24"/>
                          </w:rPr>
                          <m:t>(</m:t>
                        </m:r>
                        <m:r>
                          <w:rPr>
                            <w:rFonts w:ascii="Cambria Math" w:eastAsia="Batang" w:hAnsi="Cambria Math" w:cs="Times New Roman"/>
                            <w:sz w:val="24"/>
                            <w:szCs w:val="24"/>
                            <w:lang w:val="en-US"/>
                          </w:rPr>
                          <m:t>T</m:t>
                        </m:r>
                        <m:d>
                          <m:dPr>
                            <m:ctrlPr>
                              <w:rPr>
                                <w:rFonts w:ascii="Cambria Math" w:eastAsia="Batang" w:hAnsi="Cambria Math" w:cs="Times New Roman"/>
                                <w:i/>
                                <w:sz w:val="24"/>
                                <w:szCs w:val="24"/>
                                <w:lang w:val="en-US"/>
                              </w:rPr>
                            </m:ctrlPr>
                          </m:dPr>
                          <m:e>
                            <m:r>
                              <w:rPr>
                                <w:rFonts w:ascii="Cambria Math" w:eastAsia="Batang" w:hAnsi="Cambria Math" w:cs="Times New Roman"/>
                                <w:sz w:val="24"/>
                                <w:szCs w:val="24"/>
                                <w:lang w:val="en-US"/>
                              </w:rPr>
                              <m:t>n</m:t>
                            </m:r>
                          </m:e>
                        </m:d>
                        <m:r>
                          <w:rPr>
                            <w:rFonts w:ascii="Cambria Math" w:eastAsia="Batang" w:hAnsi="Cambria Math" w:cs="Times New Roman"/>
                            <w:sz w:val="24"/>
                            <w:szCs w:val="24"/>
                          </w:rPr>
                          <m:t>)</m:t>
                        </m:r>
                        <m:ctrlPr>
                          <w:rPr>
                            <w:rFonts w:ascii="Cambria Math" w:eastAsia="Batang" w:hAnsi="Cambria Math" w:cs="Times New Roman"/>
                            <w:i/>
                            <w:sz w:val="24"/>
                            <w:szCs w:val="24"/>
                            <w:lang w:val="en-US"/>
                          </w:rPr>
                        </m:ctrlPr>
                      </m:e>
                    </m:d>
                  </m:e>
                  <m:sup>
                    <m:f>
                      <m:fPr>
                        <m:type m:val="lin"/>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T(</m:t>
                            </m:r>
                          </m:e>
                          <m:sub>
                            <m:r>
                              <w:rPr>
                                <w:rFonts w:ascii="Cambria Math" w:eastAsia="Batang" w:hAnsi="Cambria Math" w:cs="Times New Roman"/>
                                <w:sz w:val="24"/>
                                <w:szCs w:val="24"/>
                              </w:rPr>
                              <m:t>n)</m:t>
                            </m:r>
                          </m:sub>
                        </m:sSub>
                      </m:num>
                      <m:den>
                        <m:r>
                          <w:rPr>
                            <w:rFonts w:ascii="Cambria Math" w:eastAsia="Batang" w:hAnsi="Cambria Math" w:cs="Times New Roman"/>
                            <w:sz w:val="24"/>
                            <w:szCs w:val="24"/>
                          </w:rPr>
                          <m:t>365</m:t>
                        </m:r>
                      </m:den>
                    </m:f>
                  </m:sup>
                </m:sSup>
              </m:den>
            </m:f>
            <m:r>
              <w:rPr>
                <w:rFonts w:ascii="Cambria Math" w:eastAsia="Batang" w:hAnsi="Cambria Math" w:cs="Times New Roman"/>
                <w:sz w:val="24"/>
                <w:szCs w:val="24"/>
              </w:rPr>
              <m:t>(1-</m:t>
            </m:r>
            <m:r>
              <w:rPr>
                <w:rFonts w:ascii="Cambria Math" w:eastAsia="Batang" w:hAnsi="Cambria Math" w:cs="Times New Roman"/>
                <w:sz w:val="24"/>
                <w:szCs w:val="24"/>
                <w:lang w:val="en-US"/>
              </w:rPr>
              <m:t>LGD</m:t>
            </m:r>
            <m:r>
              <w:rPr>
                <w:rFonts w:ascii="Cambria Math" w:eastAsia="Batang" w:hAnsi="Cambria Math" w:cs="Times New Roman"/>
                <w:sz w:val="24"/>
                <w:szCs w:val="24"/>
              </w:rPr>
              <m:t>*PD</m:t>
            </m:r>
            <m:d>
              <m:dPr>
                <m:ctrlPr>
                  <w:rPr>
                    <w:rFonts w:ascii="Cambria Math" w:eastAsia="Batang" w:hAnsi="Cambria Math" w:cs="Times New Roman"/>
                    <w:i/>
                    <w:sz w:val="24"/>
                    <w:szCs w:val="24"/>
                  </w:rPr>
                </m:ctrlPr>
              </m:dPr>
              <m:e>
                <m:r>
                  <w:rPr>
                    <w:rFonts w:ascii="Cambria Math" w:eastAsia="Batang" w:hAnsi="Cambria Math" w:cs="Times New Roman"/>
                    <w:sz w:val="24"/>
                    <w:szCs w:val="24"/>
                  </w:rPr>
                  <m:t>Tn</m:t>
                </m:r>
              </m:e>
            </m:d>
            <m:r>
              <w:rPr>
                <w:rFonts w:ascii="Cambria Math" w:eastAsia="Batang" w:hAnsi="Cambria Math" w:cs="Times New Roman"/>
                <w:sz w:val="24"/>
                <w:szCs w:val="24"/>
              </w:rPr>
              <m:t xml:space="preserve">) </m:t>
            </m:r>
          </m:e>
        </m:nary>
      </m:oMath>
      <w:r w:rsidRPr="00A12F11">
        <w:rPr>
          <w:rFonts w:ascii="Times New Roman" w:hAnsi="Times New Roman" w:cs="Times New Roman"/>
          <w:i/>
          <w:sz w:val="24"/>
          <w:szCs w:val="24"/>
        </w:rPr>
        <w:t>,</w:t>
      </w:r>
    </w:p>
    <w:p w14:paraId="0C7E6FB8"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6990B09F"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m:oMath>
        <m:r>
          <w:rPr>
            <w:rFonts w:ascii="Cambria Math" w:eastAsia="Batang" w:hAnsi="Cambria Math" w:cs="Times New Roman"/>
            <w:sz w:val="24"/>
            <w:szCs w:val="24"/>
          </w:rPr>
          <m:t xml:space="preserve">PV </m:t>
        </m:r>
      </m:oMath>
      <w:r w:rsidRPr="00A12F11">
        <w:rPr>
          <w:rFonts w:ascii="Times New Roman" w:eastAsia="Batang" w:hAnsi="Times New Roman" w:cs="Times New Roman"/>
          <w:sz w:val="24"/>
          <w:szCs w:val="24"/>
        </w:rPr>
        <w:t>– справедливая стоимость актива;</w:t>
      </w:r>
    </w:p>
    <w:p w14:paraId="6ED4A83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количество денежных потоков до даты погашения актива, начиная с даты определения СЧА;</w:t>
      </w:r>
    </w:p>
    <w:p w14:paraId="6F471C40" w14:textId="77777777" w:rsidR="001D77FA" w:rsidRPr="00A12F11" w:rsidRDefault="00421381" w:rsidP="00A12F11">
      <w:pPr>
        <w:spacing w:before="240" w:line="276" w:lineRule="auto"/>
        <w:ind w:left="426" w:hanging="426"/>
        <w:jc w:val="both"/>
        <w:rPr>
          <w:rFonts w:ascii="Times New Roman" w:eastAsia="Batang" w:hAnsi="Times New Roman" w:cs="Times New Roman"/>
          <w:sz w:val="24"/>
          <w:szCs w:val="24"/>
        </w:rPr>
      </w:pPr>
      <m:oMath>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oMath>
      <w:r w:rsidR="001D77FA" w:rsidRPr="00A12F11">
        <w:rPr>
          <w:rFonts w:ascii="Times New Roman" w:eastAsia="Batang" w:hAnsi="Times New Roman" w:cs="Times New Roman"/>
          <w:sz w:val="24"/>
          <w:szCs w:val="24"/>
        </w:rPr>
        <w:t xml:space="preserve"> - сумма n-ого денежного потока (проценты и основная сумма); </w:t>
      </w:r>
    </w:p>
    <w:p w14:paraId="1613B94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порядковый номер денежного потока, начиная с даты определения СЧА;</w:t>
      </w:r>
    </w:p>
    <w:p w14:paraId="0DB71C7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 определяемая в соответствии с порядком, установленным в разделе «Общие положения»;</w:t>
      </w:r>
    </w:p>
    <w:p w14:paraId="44CC45B1"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количество дней от даты определения СЧА до даты n-ого денежного потока;</w:t>
      </w:r>
    </w:p>
    <w:p w14:paraId="6B9A7B2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P</w:t>
      </w:r>
      <w:r w:rsidRPr="00A12F11">
        <w:rPr>
          <w:rFonts w:ascii="Times New Roman" w:eastAsia="Batang" w:hAnsi="Times New Roman" w:cs="Times New Roman"/>
          <w:sz w:val="24"/>
          <w:szCs w:val="24"/>
          <w:lang w:val="en-US"/>
        </w:rPr>
        <w:t>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Tn</w:t>
      </w:r>
      <w:r w:rsidRPr="00A12F11">
        <w:rPr>
          <w:rFonts w:ascii="Times New Roman" w:eastAsia="Batang" w:hAnsi="Times New Roman" w:cs="Times New Roman"/>
          <w:sz w:val="24"/>
          <w:szCs w:val="24"/>
        </w:rPr>
        <w:t xml:space="preserve">) (Probability of Default, вероятность дефолта) – вероятность, с которой контрагент в течение  </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дней может оказаться в состоянии дефолта. Вероятность дефолта </w:t>
      </w:r>
      <w:r w:rsidRPr="00A12F11">
        <w:rPr>
          <w:rFonts w:ascii="Times New Roman" w:eastAsia="Batang" w:hAnsi="Times New Roman" w:cs="Times New Roman"/>
          <w:sz w:val="24"/>
          <w:szCs w:val="24"/>
          <w:lang w:val="en-US"/>
        </w:rPr>
        <w:t>PD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определяется с учетом положений, установленных в разделе 4 настоящего Приложения.</w:t>
      </w:r>
    </w:p>
    <w:p w14:paraId="2074726C"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2E56637D" w14:textId="3E935435"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43338C79" w14:textId="0B218F38"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1.3 </w:t>
      </w:r>
      <w:r w:rsidR="001D77FA" w:rsidRPr="00A12F11">
        <w:rPr>
          <w:rFonts w:ascii="Times New Roman" w:hAnsi="Times New Roman" w:cs="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T</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n</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заменяется на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CoR</w:t>
      </w:r>
      <w:r w:rsidR="001D77FA" w:rsidRPr="00A12F11">
        <w:rPr>
          <w:rFonts w:ascii="Times New Roman" w:eastAsia="Batang" w:hAnsi="Times New Roman" w:cs="Times New Roman"/>
          <w:sz w:val="24"/>
          <w:szCs w:val="24"/>
        </w:rPr>
        <w:t xml:space="preserve"> </w:t>
      </w:r>
      <w:r w:rsidR="001D77FA" w:rsidRPr="00A12F11">
        <w:rPr>
          <w:rFonts w:ascii="Times New Roman" w:hAnsi="Times New Roman" w:cs="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1.</w:t>
      </w:r>
    </w:p>
    <w:bookmarkEnd w:id="5"/>
    <w:p w14:paraId="566C28CB"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2. Оценка активов. Обесценение без дефолта.</w:t>
      </w:r>
    </w:p>
    <w:p w14:paraId="5BC694F9" w14:textId="4CF8D126"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2.1 </w:t>
      </w:r>
      <w:r w:rsidR="001D77FA" w:rsidRPr="00A12F11">
        <w:rPr>
          <w:rFonts w:ascii="Times New Roman" w:hAnsi="Times New Roman" w:cs="Times New Roman"/>
          <w:sz w:val="24"/>
          <w:szCs w:val="24"/>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6A4554D" w14:textId="0F8190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2.2. </w:t>
      </w:r>
      <w:r w:rsidR="001D77FA" w:rsidRPr="00A12F11">
        <w:rPr>
          <w:rFonts w:ascii="Times New Roman" w:hAnsi="Times New Roman" w:cs="Times New Roman"/>
          <w:b/>
          <w:sz w:val="24"/>
          <w:szCs w:val="24"/>
        </w:rPr>
        <w:t>События, ведущие к обесценению:</w:t>
      </w:r>
      <w:r w:rsidR="001D77FA" w:rsidRPr="00A12F11" w:rsidDel="005A6B42">
        <w:rPr>
          <w:rFonts w:ascii="Times New Roman" w:hAnsi="Times New Roman" w:cs="Times New Roman"/>
          <w:b/>
          <w:sz w:val="24"/>
          <w:szCs w:val="24"/>
        </w:rPr>
        <w:t xml:space="preserve"> </w:t>
      </w:r>
    </w:p>
    <w:p w14:paraId="696913F5" w14:textId="258EBDCE" w:rsidR="001D77FA" w:rsidRPr="00A12F11" w:rsidRDefault="0036042D"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sz w:val="24"/>
          <w:szCs w:val="24"/>
        </w:rPr>
        <w:t xml:space="preserve">2.2.1 </w:t>
      </w:r>
      <w:r w:rsidR="001D77FA" w:rsidRPr="00A12F11">
        <w:rPr>
          <w:rFonts w:ascii="Times New Roman" w:hAnsi="Times New Roman" w:cs="Times New Roman"/>
          <w:sz w:val="24"/>
          <w:szCs w:val="24"/>
        </w:rPr>
        <w:t xml:space="preserve">В отношении </w:t>
      </w:r>
      <w:r w:rsidR="001D77FA" w:rsidRPr="00A12F11">
        <w:rPr>
          <w:rFonts w:ascii="Times New Roman" w:hAnsi="Times New Roman" w:cs="Times New Roman"/>
          <w:b/>
          <w:sz w:val="24"/>
          <w:szCs w:val="24"/>
        </w:rPr>
        <w:t>юридических</w:t>
      </w:r>
      <w:r w:rsidR="001D77FA" w:rsidRPr="00A12F11">
        <w:rPr>
          <w:rFonts w:ascii="Times New Roman" w:hAnsi="Times New Roman" w:cs="Times New Roman"/>
          <w:sz w:val="24"/>
          <w:szCs w:val="24"/>
        </w:rPr>
        <w:t xml:space="preserve"> лиц</w:t>
      </w:r>
    </w:p>
    <w:p w14:paraId="7F2F858D" w14:textId="054557A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1. Ухудшение</w:t>
      </w:r>
      <w:r w:rsidR="001D77FA" w:rsidRPr="00A12F11">
        <w:rPr>
          <w:rFonts w:ascii="Times New Roman" w:hAnsi="Times New Roman" w:cs="Times New Roman"/>
          <w:sz w:val="24"/>
          <w:szCs w:val="24"/>
        </w:rPr>
        <w:t xml:space="preserve">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5D237379" w14:textId="11C4D09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2. Негативное</w:t>
      </w:r>
      <w:r w:rsidR="001D77FA" w:rsidRPr="00A12F11">
        <w:rPr>
          <w:rFonts w:ascii="Times New Roman" w:hAnsi="Times New Roman" w:cs="Times New Roman"/>
          <w:sz w:val="24"/>
          <w:szCs w:val="24"/>
        </w:rPr>
        <w:t xml:space="preserve">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411CF89" w14:textId="02B28966"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Снижение рейтинга на 1 ступень и более;</w:t>
      </w:r>
    </w:p>
    <w:p w14:paraId="2A5387CC" w14:textId="164DB8D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618D6C75" w14:textId="5553045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Ухудшение рейтинга, присвоенного по международной шкале в иностранной валюте для </w:t>
      </w:r>
      <w:r w:rsidRPr="00A12F11">
        <w:rPr>
          <w:rFonts w:ascii="Times New Roman" w:hAnsi="Times New Roman" w:cs="Times New Roman"/>
          <w:sz w:val="24"/>
          <w:szCs w:val="24"/>
        </w:rPr>
        <w:t>-</w:t>
      </w:r>
      <w:r w:rsidR="001D77FA" w:rsidRPr="00A12F11">
        <w:rPr>
          <w:rFonts w:ascii="Times New Roman" w:hAnsi="Times New Roman" w:cs="Times New Roman"/>
          <w:sz w:val="24"/>
          <w:szCs w:val="24"/>
        </w:rPr>
        <w:t>задолженности не учитывается в качестве признака обесценения в случае, если они обусловлены ухудшением страновой оценки эмитента / заемщика.</w:t>
      </w:r>
    </w:p>
    <w:p w14:paraId="0986AC0F" w14:textId="6CDA6408"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0E836FFA" w14:textId="3FE2EDD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3. Резкий</w:t>
      </w:r>
      <w:r w:rsidR="001D77FA" w:rsidRPr="00A12F11">
        <w:rPr>
          <w:rFonts w:ascii="Times New Roman" w:hAnsi="Times New Roman" w:cs="Times New Roman"/>
          <w:sz w:val="24"/>
          <w:szCs w:val="24"/>
        </w:rPr>
        <w:t xml:space="preserve">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636B89F5" w14:textId="5615DD29"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F98686D" w14:textId="6D06701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4. Отзыв</w:t>
      </w:r>
      <w:r w:rsidR="001D77FA" w:rsidRPr="00A12F11">
        <w:rPr>
          <w:rFonts w:ascii="Times New Roman" w:hAnsi="Times New Roman" w:cs="Times New Roman"/>
          <w:sz w:val="24"/>
          <w:szCs w:val="24"/>
        </w:rPr>
        <w:t xml:space="preserve"> (аннулирование) у контрагента лицензии на осуществление основного вида деятельности.</w:t>
      </w:r>
    </w:p>
    <w:p w14:paraId="04EAF112" w14:textId="402D867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5. Исчезновение</w:t>
      </w:r>
      <w:r w:rsidR="001D77FA" w:rsidRPr="00A12F11">
        <w:rPr>
          <w:rFonts w:ascii="Times New Roman" w:hAnsi="Times New Roman" w:cs="Times New Roman"/>
          <w:sz w:val="24"/>
          <w:szCs w:val="24"/>
        </w:rPr>
        <w:t xml:space="preserve"> активного рынка для финансового актива в результате финансовых затруднений эмитента.</w:t>
      </w:r>
    </w:p>
    <w:p w14:paraId="442F005A" w14:textId="34B124E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6. Наличие</w:t>
      </w:r>
      <w:r w:rsidR="001D77FA" w:rsidRPr="00A12F11">
        <w:rPr>
          <w:rFonts w:ascii="Times New Roman" w:hAnsi="Times New Roman" w:cs="Times New Roman"/>
          <w:sz w:val="24"/>
          <w:szCs w:val="24"/>
        </w:rPr>
        <w:t xml:space="preserve"> признаков несостоятельности (банкротства) заемщика</w:t>
      </w:r>
      <w:r w:rsidR="001D77FA" w:rsidRPr="00A12F11">
        <w:rPr>
          <w:rStyle w:val="aff7"/>
          <w:rFonts w:ascii="Times New Roman" w:hAnsi="Times New Roman" w:cs="Times New Roman"/>
          <w:sz w:val="24"/>
          <w:szCs w:val="24"/>
        </w:rPr>
        <w:footnoteReference w:id="7"/>
      </w:r>
      <w:r w:rsidR="001D77FA" w:rsidRPr="00A12F11">
        <w:rPr>
          <w:rFonts w:ascii="Times New Roman" w:hAnsi="Times New Roman" w:cs="Times New Roman"/>
          <w:sz w:val="24"/>
          <w:szCs w:val="24"/>
        </w:rPr>
        <w:t>.</w:t>
      </w:r>
    </w:p>
    <w:p w14:paraId="5A2D5B1B" w14:textId="498725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7. Для</w:t>
      </w:r>
      <w:r w:rsidR="001D77FA" w:rsidRPr="00A12F11">
        <w:rPr>
          <w:rFonts w:ascii="Times New Roman" w:hAnsi="Times New Roman" w:cs="Times New Roman"/>
          <w:sz w:val="24"/>
          <w:szCs w:val="24"/>
        </w:rPr>
        <w:t xml:space="preserve">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1D77FA" w:rsidRPr="00A12F11">
        <w:rPr>
          <w:rStyle w:val="aff7"/>
          <w:rFonts w:ascii="Times New Roman" w:hAnsi="Times New Roman" w:cs="Times New Roman"/>
          <w:sz w:val="24"/>
          <w:szCs w:val="24"/>
        </w:rPr>
        <w:footnoteReference w:id="8"/>
      </w:r>
      <w:r w:rsidR="001D77FA" w:rsidRPr="00A12F11">
        <w:rPr>
          <w:rFonts w:ascii="Times New Roman" w:hAnsi="Times New Roman" w:cs="Times New Roman"/>
          <w:sz w:val="24"/>
          <w:szCs w:val="24"/>
        </w:rPr>
        <w:t>, к которой принадлежит контрагент, в случае продолжения обслуживания долга самим контрагентом после события дефолта.</w:t>
      </w:r>
    </w:p>
    <w:p w14:paraId="190CEF8E" w14:textId="021D468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204EDEC6" w14:textId="6BB5497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 xml:space="preserve">2.2.2. </w:t>
      </w:r>
      <w:r w:rsidR="001D77FA" w:rsidRPr="00A12F11">
        <w:rPr>
          <w:rFonts w:ascii="Times New Roman" w:hAnsi="Times New Roman" w:cs="Times New Roman"/>
          <w:b/>
          <w:sz w:val="24"/>
          <w:szCs w:val="24"/>
        </w:rPr>
        <w:t>В отношении физических лиц</w:t>
      </w:r>
      <w:r w:rsidR="004F745D" w:rsidRPr="00A12F11">
        <w:rPr>
          <w:rFonts w:ascii="Times New Roman" w:hAnsi="Times New Roman" w:cs="Times New Roman"/>
          <w:sz w:val="24"/>
          <w:szCs w:val="24"/>
        </w:rPr>
        <w:t>:</w:t>
      </w:r>
    </w:p>
    <w:p w14:paraId="0CC510A6" w14:textId="01389C3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1. Появление</w:t>
      </w:r>
      <w:r w:rsidR="001D77FA" w:rsidRPr="00A12F11">
        <w:rPr>
          <w:rFonts w:ascii="Times New Roman" w:hAnsi="Times New Roman" w:cs="Times New Roman"/>
          <w:sz w:val="24"/>
          <w:szCs w:val="24"/>
        </w:rPr>
        <w:t xml:space="preserve"> у Управляющей компании информации о снижении возможности физического лица обслуживать обязательства, в том числе - потеря работы, потеря трудоспособности, утрата собственности, являющейся одним из источников дохода физического лица;</w:t>
      </w:r>
    </w:p>
    <w:p w14:paraId="7F1C650D" w14:textId="44B6A04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2. Появление</w:t>
      </w:r>
      <w:r w:rsidR="001D77FA" w:rsidRPr="00A12F11">
        <w:rPr>
          <w:rFonts w:ascii="Times New Roman" w:hAnsi="Times New Roman" w:cs="Times New Roman"/>
          <w:sz w:val="24"/>
          <w:szCs w:val="24"/>
        </w:rPr>
        <w:t xml:space="preserve">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1D77FA" w:rsidRPr="00A12F11">
        <w:rPr>
          <w:rStyle w:val="aff7"/>
          <w:rFonts w:ascii="Times New Roman" w:hAnsi="Times New Roman" w:cs="Times New Roman"/>
          <w:sz w:val="24"/>
          <w:szCs w:val="24"/>
        </w:rPr>
        <w:footnoteReference w:id="9"/>
      </w:r>
      <w:r w:rsidR="001D77FA" w:rsidRPr="00A12F11">
        <w:rPr>
          <w:rFonts w:ascii="Times New Roman" w:hAnsi="Times New Roman" w:cs="Times New Roman"/>
          <w:sz w:val="24"/>
          <w:szCs w:val="24"/>
        </w:rPr>
        <w:t>;</w:t>
      </w:r>
    </w:p>
    <w:p w14:paraId="7F5D9F20" w14:textId="0F75E73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3. Появление</w:t>
      </w:r>
      <w:r w:rsidR="001D77FA" w:rsidRPr="00A12F11">
        <w:rPr>
          <w:rFonts w:ascii="Times New Roman" w:hAnsi="Times New Roman" w:cs="Times New Roman"/>
          <w:sz w:val="24"/>
          <w:szCs w:val="24"/>
        </w:rPr>
        <w:t xml:space="preserve"> у Управляющей компании информации о возбуждении уголовного дела в отношении физического лица или объявлении его в розыск;</w:t>
      </w:r>
    </w:p>
    <w:p w14:paraId="45AE951F" w14:textId="0CB7554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2.2.3.</w:t>
      </w:r>
      <w:r w:rsidR="001D77FA" w:rsidRPr="00A12F11">
        <w:rPr>
          <w:rFonts w:ascii="Times New Roman" w:hAnsi="Times New Roman" w:cs="Times New Roman"/>
          <w:b/>
          <w:sz w:val="24"/>
          <w:szCs w:val="24"/>
        </w:rPr>
        <w:t>В отношении физических и юридических лиц</w:t>
      </w:r>
    </w:p>
    <w:p w14:paraId="559BA1E6" w14:textId="0A3AAF4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4E9ED403" w14:textId="6E2C3CCF"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E3860AA" w14:textId="3225C1D1"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14:paraId="13E130FA" w14:textId="376089C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2. Предоставление</w:t>
      </w:r>
      <w:r w:rsidR="001D77FA" w:rsidRPr="00A12F11">
        <w:rPr>
          <w:rFonts w:ascii="Times New Roman" w:hAnsi="Times New Roman" w:cs="Times New Roman"/>
          <w:sz w:val="24"/>
          <w:szCs w:val="24"/>
        </w:rPr>
        <w:t xml:space="preserve">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4120AAC8" w14:textId="6DB936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2.2.3.3</w:t>
      </w:r>
      <w:r w:rsidR="008E621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5D5BF429" w14:textId="2FBEA6CF" w:rsidR="00B96CB1"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2.3.</w:t>
      </w:r>
      <w:r w:rsidR="001D77FA" w:rsidRPr="00A12F11">
        <w:rPr>
          <w:rFonts w:ascii="Times New Roman" w:hAnsi="Times New Roman" w:cs="Times New Roman"/>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r w:rsidR="00F23930" w:rsidRPr="00A12F11">
        <w:rPr>
          <w:rFonts w:ascii="Times New Roman" w:hAnsi="Times New Roman" w:cs="Times New Roman"/>
          <w:sz w:val="24"/>
          <w:szCs w:val="24"/>
        </w:rPr>
        <w:t>, по состоянию на которую данная информация стала доступной</w:t>
      </w:r>
      <w:r w:rsidR="001D77FA" w:rsidRPr="00A12F11">
        <w:rPr>
          <w:rFonts w:ascii="Times New Roman" w:hAnsi="Times New Roman" w:cs="Times New Roman"/>
          <w:sz w:val="24"/>
          <w:szCs w:val="24"/>
        </w:rPr>
        <w:t xml:space="preserve">. </w:t>
      </w:r>
    </w:p>
    <w:p w14:paraId="79291EF3" w14:textId="6FFD2406" w:rsidR="00B96CB1"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2.4 </w:t>
      </w:r>
      <w:r w:rsidR="001D77FA" w:rsidRPr="00A12F11">
        <w:rPr>
          <w:rFonts w:ascii="Times New Roman" w:hAnsi="Times New Roman" w:cs="Times New Roman"/>
          <w:b/>
          <w:sz w:val="24"/>
          <w:szCs w:val="24"/>
        </w:rPr>
        <w:t>Обесценение по различным активам, относящимся к контрагенту.</w:t>
      </w:r>
    </w:p>
    <w:p w14:paraId="2BBFEFED" w14:textId="5542A7B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2.4.1</w:t>
      </w:r>
      <w:r w:rsidR="009F0110"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001D77FA" w:rsidRPr="00A12F11">
        <w:rPr>
          <w:rStyle w:val="aff7"/>
          <w:rFonts w:ascii="Times New Roman" w:hAnsi="Times New Roman" w:cs="Times New Roman"/>
          <w:sz w:val="24"/>
          <w:szCs w:val="24"/>
        </w:rPr>
        <w:footnoteReference w:id="10"/>
      </w:r>
      <w:r w:rsidR="001D77FA" w:rsidRPr="00A12F11">
        <w:rPr>
          <w:rFonts w:ascii="Times New Roman" w:hAnsi="Times New Roman" w:cs="Times New Roman"/>
          <w:sz w:val="24"/>
          <w:szCs w:val="24"/>
        </w:rPr>
        <w:t xml:space="preserve">. </w:t>
      </w:r>
    </w:p>
    <w:p w14:paraId="7D641CC7" w14:textId="0E7E52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w:t>
      </w:r>
      <w:r w:rsidR="00B90EF6" w:rsidRPr="00A12F11">
        <w:rPr>
          <w:rFonts w:ascii="Times New Roman" w:hAnsi="Times New Roman" w:cs="Times New Roman"/>
          <w:sz w:val="24"/>
          <w:szCs w:val="24"/>
        </w:rPr>
        <w:t>2. Поручительства</w:t>
      </w:r>
      <w:r w:rsidR="001D77FA" w:rsidRPr="00A12F11">
        <w:rPr>
          <w:rFonts w:ascii="Times New Roman" w:hAnsi="Times New Roman" w:cs="Times New Roman"/>
          <w:sz w:val="24"/>
          <w:szCs w:val="24"/>
        </w:rPr>
        <w:t xml:space="preserve"> и гарантии контрагента с признаками обесценения принимаются в расчет с учетом обесценения.</w:t>
      </w:r>
    </w:p>
    <w:p w14:paraId="14B2E4CD" w14:textId="5D7CEB3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5. Мониторинг</w:t>
      </w:r>
      <w:r w:rsidR="001D77FA" w:rsidRPr="00A12F11">
        <w:rPr>
          <w:rFonts w:ascii="Times New Roman" w:hAnsi="Times New Roman" w:cs="Times New Roman"/>
          <w:b/>
          <w:sz w:val="24"/>
          <w:szCs w:val="24"/>
        </w:rPr>
        <w:t xml:space="preserve"> признаков обесценения</w:t>
      </w:r>
    </w:p>
    <w:p w14:paraId="2E00499E" w14:textId="373AB73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1. Мониторинг</w:t>
      </w:r>
      <w:r w:rsidR="001D77FA" w:rsidRPr="00A12F11">
        <w:rPr>
          <w:rFonts w:ascii="Times New Roman" w:hAnsi="Times New Roman" w:cs="Times New Roman"/>
          <w:sz w:val="24"/>
          <w:szCs w:val="24"/>
        </w:rPr>
        <w:t xml:space="preserve">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C14EE44" w14:textId="7B5D62A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2. Мониторинг</w:t>
      </w:r>
      <w:r w:rsidR="001D77FA" w:rsidRPr="00A12F11">
        <w:rPr>
          <w:rFonts w:ascii="Times New Roman" w:hAnsi="Times New Roman" w:cs="Times New Roman"/>
          <w:sz w:val="24"/>
          <w:szCs w:val="24"/>
        </w:rPr>
        <w:t xml:space="preserve"> по рынку ценных бумаг проводится на каждую дату расчета СЧА.</w:t>
      </w:r>
    </w:p>
    <w:p w14:paraId="2A058590" w14:textId="661BE24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3. Мониторинг</w:t>
      </w:r>
      <w:r w:rsidR="001D77FA" w:rsidRPr="00A12F11">
        <w:rPr>
          <w:rFonts w:ascii="Times New Roman" w:hAnsi="Times New Roman" w:cs="Times New Roman"/>
          <w:sz w:val="24"/>
          <w:szCs w:val="24"/>
        </w:rPr>
        <w:t xml:space="preserve"> по физическим лицам проводится раз в 6 месяцев, </w:t>
      </w:r>
    </w:p>
    <w:p w14:paraId="30E1BD81" w14:textId="104A2DE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4. Мониторинг</w:t>
      </w:r>
      <w:r w:rsidR="001D77FA" w:rsidRPr="00A12F11">
        <w:rPr>
          <w:rFonts w:ascii="Times New Roman" w:hAnsi="Times New Roman" w:cs="Times New Roman"/>
          <w:sz w:val="24"/>
          <w:szCs w:val="24"/>
        </w:rPr>
        <w:t xml:space="preserve">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5F2FCF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483F53E6" w14:textId="2D6AD44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обесценения. </w:t>
      </w:r>
    </w:p>
    <w:p w14:paraId="40828AE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обесцененной в следующих случаях:</w:t>
      </w:r>
    </w:p>
    <w:p w14:paraId="6B178C6B" w14:textId="278EC6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юридических лиц</w:t>
      </w:r>
    </w:p>
    <w:p w14:paraId="0172D02C" w14:textId="0D95344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CA8DFA8" w14:textId="5F6050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6599084C" w14:textId="5AD11C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обесценения из-за резкого роста доходности по торгуемым долговым инструментам эмитента – в случае возвращения спрэдов по облигациям эмитента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-кривой к прежним уровням (либо уровням компаний, которые до момента обесценения торговались с близким спрэдом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-кривой</w:t>
      </w:r>
      <w:r w:rsidR="001D77FA" w:rsidRPr="00A12F11">
        <w:rPr>
          <w:rStyle w:val="aff7"/>
          <w:rFonts w:ascii="Times New Roman" w:hAnsi="Times New Roman" w:cs="Times New Roman"/>
          <w:sz w:val="24"/>
          <w:szCs w:val="24"/>
        </w:rPr>
        <w:footnoteReference w:id="11"/>
      </w:r>
      <w:r w:rsidR="001D77FA" w:rsidRPr="00A12F11">
        <w:rPr>
          <w:rFonts w:ascii="Times New Roman" w:hAnsi="Times New Roman" w:cs="Times New Roman"/>
          <w:sz w:val="24"/>
          <w:szCs w:val="24"/>
        </w:rPr>
        <w:t>).</w:t>
      </w:r>
    </w:p>
    <w:p w14:paraId="3AE02FE7" w14:textId="6BF06B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59A7C72" w14:textId="43AF936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5. Для</w:t>
      </w:r>
      <w:r w:rsidR="001D77FA" w:rsidRPr="00A12F11">
        <w:rPr>
          <w:rFonts w:ascii="Times New Roman" w:hAnsi="Times New Roman" w:cs="Times New Roman"/>
          <w:sz w:val="24"/>
          <w:szCs w:val="24"/>
        </w:rPr>
        <w:t xml:space="preserve">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52A4FED9" w14:textId="6A48B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6. Для</w:t>
      </w:r>
      <w:r w:rsidR="001D77FA" w:rsidRPr="00A12F11">
        <w:rPr>
          <w:rFonts w:ascii="Times New Roman" w:hAnsi="Times New Roman" w:cs="Times New Roman"/>
          <w:sz w:val="24"/>
          <w:szCs w:val="24"/>
        </w:rPr>
        <w:t xml:space="preserve"> обесценения из-за наличия признаков банкротства – в случае отсутствия признаков банкротства в течение срока не менее 6 мес.</w:t>
      </w:r>
    </w:p>
    <w:p w14:paraId="1ED1B814" w14:textId="575867C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2.6.1.7.</w:t>
      </w:r>
      <w:r w:rsidR="001D77FA" w:rsidRPr="00A12F11">
        <w:rPr>
          <w:rFonts w:ascii="Times New Roman" w:hAnsi="Times New Roman" w:cs="Times New Roman"/>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E8FAAA9" w14:textId="30B79B45"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2.6.2.</w:t>
      </w:r>
      <w:r w:rsidR="001D77FA" w:rsidRPr="00A12F11">
        <w:rPr>
          <w:rFonts w:ascii="Times New Roman" w:hAnsi="Times New Roman" w:cs="Times New Roman"/>
          <w:b/>
          <w:sz w:val="24"/>
          <w:szCs w:val="24"/>
        </w:rPr>
        <w:t>В отношении физических лиц.</w:t>
      </w:r>
    </w:p>
    <w:p w14:paraId="1892F59B" w14:textId="759AF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001D77FA" w:rsidRPr="00A12F11">
        <w:rPr>
          <w:rStyle w:val="aff7"/>
          <w:rFonts w:ascii="Times New Roman" w:hAnsi="Times New Roman" w:cs="Times New Roman"/>
          <w:sz w:val="24"/>
          <w:szCs w:val="24"/>
        </w:rPr>
        <w:footnoteReference w:id="12"/>
      </w:r>
    </w:p>
    <w:p w14:paraId="58E4F77A" w14:textId="2C03D60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информации об исполнительном производстве – в случае погашения задолженности по исполнительному производству.</w:t>
      </w:r>
    </w:p>
    <w:p w14:paraId="2A371A2C" w14:textId="77777777" w:rsidR="00465C8F" w:rsidRPr="00A12F11" w:rsidRDefault="00465C8F" w:rsidP="00A12F11">
      <w:pPr>
        <w:spacing w:before="240" w:line="276" w:lineRule="auto"/>
        <w:ind w:left="426" w:hanging="426"/>
        <w:jc w:val="both"/>
        <w:rPr>
          <w:rFonts w:ascii="Times New Roman" w:hAnsi="Times New Roman" w:cs="Times New Roman"/>
          <w:sz w:val="24"/>
          <w:szCs w:val="24"/>
        </w:rPr>
      </w:pPr>
    </w:p>
    <w:p w14:paraId="62F6D7B0" w14:textId="4B13A093"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2.6.3.</w:t>
      </w:r>
      <w:r w:rsidR="001D77FA" w:rsidRPr="00A12F11">
        <w:rPr>
          <w:rFonts w:ascii="Times New Roman" w:hAnsi="Times New Roman" w:cs="Times New Roman"/>
          <w:b/>
          <w:sz w:val="24"/>
          <w:szCs w:val="24"/>
        </w:rPr>
        <w:t>В отношении юридических и физических лиц.</w:t>
      </w:r>
    </w:p>
    <w:p w14:paraId="32BD6902" w14:textId="47606D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772450C" w14:textId="01B3DA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65CFB699" w14:textId="131F8A7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2.6.3.3.</w:t>
      </w:r>
      <w:r w:rsidR="001D77FA" w:rsidRPr="00A12F11">
        <w:rPr>
          <w:rFonts w:ascii="Times New Roman" w:hAnsi="Times New Roman" w:cs="Times New Roman"/>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C9CF23B" w14:textId="72D616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5C05BB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6302260C" w14:textId="71B8E8C6"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7. Расчет</w:t>
      </w:r>
      <w:r w:rsidR="001D77FA" w:rsidRPr="00A12F11">
        <w:rPr>
          <w:rFonts w:ascii="Times New Roman" w:hAnsi="Times New Roman" w:cs="Times New Roman"/>
          <w:b/>
          <w:sz w:val="24"/>
          <w:szCs w:val="24"/>
        </w:rPr>
        <w:t xml:space="preserve"> справедливой стоимости актива с учетом признаков обесценения (до дефолта контрагента)</w:t>
      </w:r>
    </w:p>
    <w:p w14:paraId="647A8940" w14:textId="754C620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1. Справедливая</w:t>
      </w:r>
      <w:r w:rsidR="001D77FA" w:rsidRPr="00A12F11">
        <w:rPr>
          <w:rFonts w:ascii="Times New Roman" w:hAnsi="Times New Roman" w:cs="Times New Roman"/>
          <w:sz w:val="24"/>
          <w:szCs w:val="24"/>
        </w:rPr>
        <w:t xml:space="preserve">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4BF055DC" w14:textId="6FCC52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2. </w:t>
      </w:r>
    </w:p>
    <w:p w14:paraId="5E1AAB31" w14:textId="50073DD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просроченной части задолженности в Формуле 2 в качестве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принимается 1 день, если мотивированным суждением не установлен иной срок.</w:t>
      </w:r>
    </w:p>
    <w:p w14:paraId="40266193" w14:textId="7C82CBCD"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14:paraId="35F86CEE"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Раздел 3. Оценка активов, находящихся в состоянии дефолта.</w:t>
      </w:r>
    </w:p>
    <w:p w14:paraId="1677BCA2"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0A8C41FC" w14:textId="715B185E"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3.</w:t>
      </w:r>
      <w:r w:rsidR="00B90EF6" w:rsidRPr="00A12F11">
        <w:rPr>
          <w:rFonts w:ascii="Times New Roman" w:hAnsi="Times New Roman" w:cs="Times New Roman"/>
          <w:sz w:val="24"/>
          <w:szCs w:val="24"/>
        </w:rPr>
        <w:t>1. Предельные</w:t>
      </w:r>
      <w:r w:rsidR="001D77FA" w:rsidRPr="00A12F11">
        <w:rPr>
          <w:rFonts w:ascii="Times New Roman" w:hAnsi="Times New Roman" w:cs="Times New Roman"/>
          <w:sz w:val="24"/>
          <w:szCs w:val="24"/>
        </w:rPr>
        <w:t xml:space="preserve"> сроки признания дефолта для различных видов задолженности.</w:t>
      </w:r>
    </w:p>
    <w:tbl>
      <w:tblPr>
        <w:tblW w:w="9512" w:type="dxa"/>
        <w:tblInd w:w="94" w:type="dxa"/>
        <w:tblLook w:val="04A0" w:firstRow="1" w:lastRow="0" w:firstColumn="1" w:lastColumn="0" w:noHBand="0" w:noVBand="1"/>
      </w:tblPr>
      <w:tblGrid>
        <w:gridCol w:w="6393"/>
        <w:gridCol w:w="3119"/>
      </w:tblGrid>
      <w:tr w:rsidR="001D77FA" w:rsidRPr="00A12F11" w14:paraId="49CE0F7B" w14:textId="77777777" w:rsidTr="008E7E14">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1DB0" w14:textId="77777777"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E9BCB2B" w14:textId="77777777"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Срок</w:t>
            </w:r>
          </w:p>
        </w:tc>
      </w:tr>
      <w:tr w:rsidR="001D77FA" w:rsidRPr="00A12F11" w14:paraId="439A9D7E"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134B9E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облигациям российских/иностранных эмитентов</w:t>
            </w:r>
            <w:r w:rsidRPr="00A12F11">
              <w:rPr>
                <w:rStyle w:val="aff7"/>
                <w:rFonts w:ascii="Times New Roman" w:eastAsia="Times New Roman" w:hAnsi="Times New Roman" w:cs="Times New Roman"/>
                <w:sz w:val="24"/>
                <w:szCs w:val="24"/>
              </w:rPr>
              <w:footnoteReference w:id="13"/>
            </w:r>
          </w:p>
        </w:tc>
        <w:tc>
          <w:tcPr>
            <w:tcW w:w="3119" w:type="dxa"/>
            <w:tcBorders>
              <w:top w:val="nil"/>
              <w:left w:val="nil"/>
              <w:bottom w:val="single" w:sz="4" w:space="0" w:color="auto"/>
              <w:right w:val="single" w:sz="4" w:space="0" w:color="auto"/>
            </w:tcBorders>
            <w:shd w:val="clear" w:color="auto" w:fill="auto"/>
            <w:vAlign w:val="center"/>
            <w:hideMark/>
          </w:tcPr>
          <w:p w14:paraId="5ECB98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7 / 10 рабочих дней</w:t>
            </w:r>
          </w:p>
        </w:tc>
      </w:tr>
      <w:tr w:rsidR="001D77FA" w:rsidRPr="00A12F11" w14:paraId="5F438163"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D98BC3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выплате дохода по долевым активам российских/иностранных эмитентов</w:t>
            </w:r>
            <w:r w:rsidRPr="00A12F11">
              <w:rPr>
                <w:rStyle w:val="aff7"/>
                <w:rFonts w:ascii="Times New Roman" w:eastAsia="Times New Roman" w:hAnsi="Times New Roman" w:cs="Times New Roman"/>
                <w:sz w:val="24"/>
                <w:szCs w:val="24"/>
              </w:rPr>
              <w:footnoteReference w:id="14"/>
            </w:r>
          </w:p>
        </w:tc>
        <w:tc>
          <w:tcPr>
            <w:tcW w:w="3119" w:type="dxa"/>
            <w:tcBorders>
              <w:top w:val="nil"/>
              <w:left w:val="nil"/>
              <w:bottom w:val="single" w:sz="4" w:space="0" w:color="auto"/>
              <w:right w:val="single" w:sz="4" w:space="0" w:color="auto"/>
            </w:tcBorders>
            <w:shd w:val="clear" w:color="auto" w:fill="auto"/>
            <w:vAlign w:val="center"/>
          </w:tcPr>
          <w:p w14:paraId="07799B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25 рабочих </w:t>
            </w:r>
            <w:r w:rsidRPr="00A12F11">
              <w:rPr>
                <w:rFonts w:ascii="Times New Roman" w:eastAsia="Times New Roman" w:hAnsi="Times New Roman" w:cs="Times New Roman"/>
                <w:sz w:val="24"/>
                <w:szCs w:val="24"/>
                <w:lang w:val="en-US"/>
              </w:rPr>
              <w:t>/</w:t>
            </w:r>
            <w:r w:rsidRPr="00A12F11">
              <w:rPr>
                <w:rFonts w:ascii="Times New Roman" w:eastAsia="Times New Roman" w:hAnsi="Times New Roman" w:cs="Times New Roman"/>
                <w:sz w:val="24"/>
                <w:szCs w:val="24"/>
              </w:rPr>
              <w:t xml:space="preserve"> </w:t>
            </w:r>
            <w:r w:rsidRPr="00A12F11">
              <w:rPr>
                <w:rFonts w:ascii="Times New Roman" w:eastAsia="Times New Roman" w:hAnsi="Times New Roman" w:cs="Times New Roman"/>
                <w:sz w:val="24"/>
                <w:szCs w:val="24"/>
                <w:lang w:val="en-US"/>
              </w:rPr>
              <w:t xml:space="preserve">45 </w:t>
            </w:r>
            <w:r w:rsidRPr="00A12F11">
              <w:rPr>
                <w:rFonts w:ascii="Times New Roman" w:eastAsia="Times New Roman" w:hAnsi="Times New Roman" w:cs="Times New Roman"/>
                <w:sz w:val="24"/>
                <w:szCs w:val="24"/>
              </w:rPr>
              <w:t>календарных дней</w:t>
            </w:r>
          </w:p>
        </w:tc>
      </w:tr>
      <w:tr w:rsidR="001D77FA" w:rsidRPr="00A12F11" w14:paraId="472600D5"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BC7A3F5"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74E9C48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30 календарных дней</w:t>
            </w:r>
          </w:p>
        </w:tc>
      </w:tr>
      <w:tr w:rsidR="001D77FA" w:rsidRPr="00A12F11" w14:paraId="02802D97" w14:textId="77777777" w:rsidTr="008E7E14">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7FABA6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08CED9A4"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5 рабочих дней</w:t>
            </w:r>
          </w:p>
        </w:tc>
      </w:tr>
      <w:tr w:rsidR="001D77FA" w:rsidRPr="00A12F11" w14:paraId="43E41E51" w14:textId="77777777" w:rsidTr="008E7E14">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A61B880"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61EFB448"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90 календарных дней</w:t>
            </w:r>
          </w:p>
        </w:tc>
      </w:tr>
    </w:tbl>
    <w:p w14:paraId="02E3DA18" w14:textId="77777777" w:rsidR="00711E39" w:rsidRPr="00A12F11" w:rsidRDefault="00711E39" w:rsidP="00A12F11">
      <w:pPr>
        <w:spacing w:before="240" w:line="276" w:lineRule="auto"/>
        <w:ind w:left="426" w:hanging="426"/>
        <w:rPr>
          <w:rFonts w:ascii="Times New Roman" w:hAnsi="Times New Roman" w:cs="Times New Roman"/>
          <w:b/>
          <w:sz w:val="24"/>
          <w:szCs w:val="24"/>
        </w:rPr>
      </w:pPr>
    </w:p>
    <w:p w14:paraId="216BD0C2" w14:textId="69E31DA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3.2.</w:t>
      </w:r>
      <w:r w:rsidR="001D77FA" w:rsidRPr="00A12F11">
        <w:rPr>
          <w:rFonts w:ascii="Times New Roman" w:hAnsi="Times New Roman" w:cs="Times New Roman"/>
          <w:b/>
          <w:sz w:val="24"/>
          <w:szCs w:val="24"/>
        </w:rPr>
        <w:t>В отношении юридических лиц дефолт и приравниваемые к нему события указаны ниже:</w:t>
      </w:r>
    </w:p>
    <w:p w14:paraId="40347952" w14:textId="0E8A5D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81F0645" w14:textId="781B6FE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194069D9" w14:textId="675978F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3. Официальное</w:t>
      </w:r>
      <w:r w:rsidR="001D77FA" w:rsidRPr="00A12F11">
        <w:rPr>
          <w:rFonts w:ascii="Times New Roman" w:hAnsi="Times New Roman" w:cs="Times New Roman"/>
          <w:sz w:val="24"/>
          <w:szCs w:val="24"/>
        </w:rPr>
        <w:t xml:space="preserve"> опубликование решения о признании эмитента/должника банкротом.</w:t>
      </w:r>
    </w:p>
    <w:p w14:paraId="57296912" w14:textId="72065C8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4. Официальное</w:t>
      </w:r>
      <w:r w:rsidR="001D77FA" w:rsidRPr="00A12F11">
        <w:rPr>
          <w:rFonts w:ascii="Times New Roman" w:hAnsi="Times New Roman" w:cs="Times New Roman"/>
          <w:sz w:val="24"/>
          <w:szCs w:val="24"/>
        </w:rPr>
        <w:t xml:space="preserve">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AB0BD11" w14:textId="30AFE64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5. Официальное</w:t>
      </w:r>
      <w:r w:rsidR="001D77FA" w:rsidRPr="00A12F11">
        <w:rPr>
          <w:rFonts w:ascii="Times New Roman" w:hAnsi="Times New Roman" w:cs="Times New Roman"/>
          <w:sz w:val="24"/>
          <w:szCs w:val="24"/>
        </w:rPr>
        <w:t xml:space="preserve"> опубликование информации о ликвидации юридического лица, за исключением случаев поглощения и присоединения.</w:t>
      </w:r>
    </w:p>
    <w:p w14:paraId="195213BD" w14:textId="47F2910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6. Присвоение</w:t>
      </w:r>
      <w:r w:rsidR="001D77FA" w:rsidRPr="00A12F11">
        <w:rPr>
          <w:rFonts w:ascii="Times New Roman" w:hAnsi="Times New Roman" w:cs="Times New Roman"/>
          <w:sz w:val="24"/>
          <w:szCs w:val="24"/>
        </w:rPr>
        <w:t xml:space="preserve"> заемщику/контрагенту рейтинга </w:t>
      </w:r>
      <w:r w:rsidR="001D77FA" w:rsidRPr="00A12F11">
        <w:rPr>
          <w:rFonts w:ascii="Times New Roman" w:hAnsi="Times New Roman" w:cs="Times New Roman"/>
          <w:sz w:val="24"/>
          <w:szCs w:val="24"/>
          <w:lang w:val="en-US"/>
        </w:rPr>
        <w:t>SD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Selected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со стороны рейтинговых агентств.</w:t>
      </w:r>
    </w:p>
    <w:p w14:paraId="7CCBF5F9" w14:textId="58667F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7. Обнаружение</w:t>
      </w:r>
      <w:r w:rsidR="001D77FA" w:rsidRPr="00A12F11">
        <w:rPr>
          <w:rFonts w:ascii="Times New Roman" w:hAnsi="Times New Roman" w:cs="Times New Roman"/>
          <w:sz w:val="24"/>
          <w:szCs w:val="24"/>
        </w:rPr>
        <w:t xml:space="preserve">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7A85A21" w14:textId="77777777" w:rsidR="001D77FA" w:rsidRPr="00A12F11" w:rsidRDefault="001D77FA" w:rsidP="00A12F11">
      <w:pPr>
        <w:spacing w:before="240" w:line="276" w:lineRule="auto"/>
        <w:ind w:left="426" w:hanging="426"/>
        <w:rPr>
          <w:rFonts w:ascii="Times New Roman" w:hAnsi="Times New Roman" w:cs="Times New Roman"/>
          <w:sz w:val="24"/>
          <w:szCs w:val="24"/>
        </w:rPr>
      </w:pPr>
    </w:p>
    <w:p w14:paraId="50966374" w14:textId="08074CE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3.3.</w:t>
      </w:r>
      <w:r w:rsidR="001D77FA" w:rsidRPr="00A12F11">
        <w:rPr>
          <w:rFonts w:ascii="Times New Roman" w:hAnsi="Times New Roman" w:cs="Times New Roman"/>
          <w:b/>
          <w:sz w:val="24"/>
          <w:szCs w:val="24"/>
        </w:rPr>
        <w:t xml:space="preserve"> В отношении физических лиц к дефолту приравниваются следующие события:</w:t>
      </w:r>
    </w:p>
    <w:p w14:paraId="34722D36" w14:textId="1F2B9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1. Нарушения</w:t>
      </w:r>
      <w:r w:rsidR="001D77FA" w:rsidRPr="00A12F11">
        <w:rPr>
          <w:rFonts w:ascii="Times New Roman" w:hAnsi="Times New Roman" w:cs="Times New Roman"/>
          <w:sz w:val="24"/>
          <w:szCs w:val="24"/>
        </w:rPr>
        <w:t xml:space="preserve">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1B3D42D1" w14:textId="2D10A75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решения о признании лица банкротом.</w:t>
      </w:r>
    </w:p>
    <w:p w14:paraId="1839095F" w14:textId="4F575F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w:t>
      </w:r>
      <w:r w:rsidR="00C0757B" w:rsidRPr="00A12F11">
        <w:rPr>
          <w:rFonts w:ascii="Times New Roman" w:hAnsi="Times New Roman" w:cs="Times New Roman"/>
          <w:sz w:val="24"/>
          <w:szCs w:val="24"/>
        </w:rPr>
        <w:t>-</w:t>
      </w:r>
      <w:r w:rsidR="001D77FA" w:rsidRPr="00A12F11">
        <w:rPr>
          <w:rFonts w:ascii="Times New Roman" w:hAnsi="Times New Roman" w:cs="Times New Roman"/>
          <w:sz w:val="24"/>
          <w:szCs w:val="24"/>
        </w:rPr>
        <w:t>окончании применения процедур банкротства.</w:t>
      </w:r>
    </w:p>
    <w:p w14:paraId="5F2932E3" w14:textId="0A5FC3B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4. Получение</w:t>
      </w:r>
      <w:r w:rsidR="001D77FA" w:rsidRPr="00A12F11">
        <w:rPr>
          <w:rFonts w:ascii="Times New Roman" w:hAnsi="Times New Roman" w:cs="Times New Roman"/>
          <w:sz w:val="24"/>
          <w:szCs w:val="24"/>
        </w:rPr>
        <w:t xml:space="preserve"> сведений об осуждении физического лица по уголовным преступлениям (кроме случаев осуждения на условный срок).</w:t>
      </w:r>
    </w:p>
    <w:p w14:paraId="4A922334" w14:textId="4BEE2F4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5. Получение</w:t>
      </w:r>
      <w:r w:rsidR="001D77FA" w:rsidRPr="00A12F11">
        <w:rPr>
          <w:rFonts w:ascii="Times New Roman" w:hAnsi="Times New Roman" w:cs="Times New Roman"/>
          <w:sz w:val="24"/>
          <w:szCs w:val="24"/>
        </w:rPr>
        <w:t xml:space="preserve"> сведений об объявлении физического лица пропавшим без вести.</w:t>
      </w:r>
    </w:p>
    <w:p w14:paraId="2A04299E" w14:textId="14EAAFF6" w:rsidR="00327F94"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6. Получение</w:t>
      </w:r>
      <w:r w:rsidR="001D77FA" w:rsidRPr="00A12F11">
        <w:rPr>
          <w:rFonts w:ascii="Times New Roman" w:hAnsi="Times New Roman" w:cs="Times New Roman"/>
          <w:sz w:val="24"/>
          <w:szCs w:val="24"/>
        </w:rPr>
        <w:t xml:space="preserve"> информации о наступлении смерти физического лица.</w:t>
      </w:r>
    </w:p>
    <w:p w14:paraId="01D2CDEC" w14:textId="52B7D58D"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3.4.</w:t>
      </w:r>
      <w:r w:rsidR="001D77FA" w:rsidRPr="00A12F11">
        <w:rPr>
          <w:rFonts w:ascii="Times New Roman" w:hAnsi="Times New Roman" w:cs="Times New Roman"/>
          <w:b/>
          <w:sz w:val="24"/>
          <w:szCs w:val="24"/>
        </w:rPr>
        <w:t xml:space="preserve"> Дефолт по различным активам, относящимся к контрагенту.</w:t>
      </w:r>
    </w:p>
    <w:p w14:paraId="0F327DDA" w14:textId="4AABB94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1F12C0A2" w14:textId="38F00B4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2D74C651" w14:textId="6BED498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3E8E57E" w14:textId="092ABC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001D77FA" w:rsidRPr="00A12F11">
        <w:rPr>
          <w:rStyle w:val="aff7"/>
          <w:rFonts w:ascii="Times New Roman" w:hAnsi="Times New Roman" w:cs="Times New Roman"/>
          <w:sz w:val="24"/>
          <w:szCs w:val="24"/>
        </w:rPr>
        <w:footnoteReference w:id="15"/>
      </w:r>
      <w:r w:rsidR="001D77FA" w:rsidRPr="00A12F11">
        <w:rPr>
          <w:rFonts w:ascii="Times New Roman" w:hAnsi="Times New Roman" w:cs="Times New Roman"/>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48B90B5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7DF49FC1" w14:textId="276D10C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5. Оценка</w:t>
      </w:r>
      <w:r w:rsidR="001D77FA" w:rsidRPr="00A12F11">
        <w:rPr>
          <w:rFonts w:ascii="Times New Roman" w:hAnsi="Times New Roman" w:cs="Times New Roman"/>
          <w:b/>
          <w:sz w:val="24"/>
          <w:szCs w:val="24"/>
        </w:rPr>
        <w:t xml:space="preserve"> справедливой стоимости активов, находящихся в дефолте</w:t>
      </w:r>
    </w:p>
    <w:p w14:paraId="2CA1B430" w14:textId="41FBA38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всех классов активов, находящихся в состоянии дефолта, справедливая стоимость актива определяется в соответствии с Формулой 2, при этом PD(T(n)) принимается равными 1. </w:t>
      </w:r>
      <w:r w:rsidR="00C0757B" w:rsidRPr="00A12F11">
        <w:rPr>
          <w:rFonts w:ascii="Times New Roman" w:hAnsi="Times New Roman" w:cs="Times New Roman"/>
          <w:sz w:val="24"/>
          <w:szCs w:val="24"/>
        </w:rPr>
        <w:t>При отсутствии информации для иной оценки в качестве срока для погашения T(n) в формуле 2  используется срок 1 день. Иной срок может быть установлен на основе обоснованного экспертного (мотивированного) суждения Управляющей компании.</w:t>
      </w:r>
    </w:p>
    <w:p w14:paraId="528A5FB1" w14:textId="6A0C9C6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2. Задолженность</w:t>
      </w:r>
      <w:r w:rsidR="001D77FA" w:rsidRPr="00A12F11">
        <w:rPr>
          <w:rFonts w:ascii="Times New Roman" w:hAnsi="Times New Roman" w:cs="Times New Roman"/>
          <w:sz w:val="24"/>
          <w:szCs w:val="24"/>
        </w:rPr>
        <w:t xml:space="preserve"> физических лиц, оцениваемая до наступления событий дефолта с использованием </w:t>
      </w:r>
      <w:r w:rsidR="001D77FA" w:rsidRPr="00A12F11">
        <w:rPr>
          <w:rFonts w:ascii="Times New Roman" w:hAnsi="Times New Roman" w:cs="Times New Roman"/>
          <w:sz w:val="24"/>
          <w:szCs w:val="24"/>
          <w:lang w:val="en-US"/>
        </w:rPr>
        <w:t>Cost</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Of</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Risk</w:t>
      </w:r>
      <w:r w:rsidR="001D77FA" w:rsidRPr="00A12F11">
        <w:rPr>
          <w:rFonts w:ascii="Times New Roman" w:hAnsi="Times New Roman" w:cs="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При этом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для такой задолженности принимается равным 1. </w:t>
      </w:r>
    </w:p>
    <w:p w14:paraId="2185E35E" w14:textId="00DA473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если контрагент/эмитент находится в состоянии банкротства</w:t>
      </w:r>
      <w:r w:rsidR="00CB7E01" w:rsidRPr="00A12F11">
        <w:rPr>
          <w:rFonts w:ascii="Times New Roman" w:hAnsi="Times New Roman" w:cs="Times New Roman"/>
          <w:sz w:val="24"/>
          <w:szCs w:val="24"/>
        </w:rPr>
        <w:t xml:space="preserve">: </w:t>
      </w:r>
    </w:p>
    <w:p w14:paraId="28704D5D" w14:textId="50E9AF6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001D77FA" w:rsidRPr="00A12F11">
        <w:rPr>
          <w:rFonts w:ascii="Times New Roman" w:eastAsia="Times New Roman" w:hAnsi="Times New Roman" w:cs="Times New Roman"/>
          <w:sz w:val="24"/>
          <w:szCs w:val="24"/>
        </w:rPr>
        <w:t xml:space="preserve"> обоснованного экспертного (мотивированного) суждения Управляющей компании</w:t>
      </w:r>
      <w:r w:rsidR="001D77FA" w:rsidRPr="00A12F11">
        <w:rPr>
          <w:rFonts w:ascii="Times New Roman" w:hAnsi="Times New Roman" w:cs="Times New Roman"/>
          <w:sz w:val="24"/>
          <w:szCs w:val="24"/>
        </w:rPr>
        <w:t>.</w:t>
      </w:r>
    </w:p>
    <w:p w14:paraId="7754B5CF" w14:textId="2FFA569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033028E6" w14:textId="2264ED27" w:rsidR="00B96CB1"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При использовании отчета оценщика при появлении новой информации о снижении </w:t>
      </w:r>
      <w:r w:rsidR="00B90EF6" w:rsidRPr="00A12F11">
        <w:rPr>
          <w:rFonts w:ascii="Times New Roman" w:hAnsi="Times New Roman" w:cs="Times New Roman"/>
          <w:sz w:val="24"/>
          <w:szCs w:val="24"/>
        </w:rPr>
        <w:t>возможности востребования</w:t>
      </w:r>
      <w:r w:rsidRPr="00A12F11">
        <w:rPr>
          <w:rFonts w:ascii="Times New Roman" w:hAnsi="Times New Roman" w:cs="Times New Roman"/>
          <w:sz w:val="24"/>
          <w:szCs w:val="24"/>
        </w:rPr>
        <w:t xml:space="preserve">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8CB55ED" w14:textId="2BB2BE0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дефолта (переход возможен только в состояние обесценения). </w:t>
      </w:r>
    </w:p>
    <w:p w14:paraId="4BAC211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дефолтной в следующих случаях:</w:t>
      </w:r>
    </w:p>
    <w:p w14:paraId="257F4255" w14:textId="60A665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реструктуризации дефолтной задолженности контрагента перед фондом после события первого обслуживания долга.</w:t>
      </w:r>
    </w:p>
    <w:p w14:paraId="1E2086D4" w14:textId="148577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0E14596" w14:textId="5F5339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возобновления обслуживания долга по графику.</w:t>
      </w:r>
    </w:p>
    <w:p w14:paraId="3D376BC7" w14:textId="16D8F2D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22E746F" w14:textId="1BE852FC" w:rsidR="001D77FA" w:rsidRPr="00A12F11" w:rsidRDefault="0036042D"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hAnsi="Times New Roman" w:cs="Times New Roman"/>
          <w:sz w:val="24"/>
          <w:szCs w:val="24"/>
        </w:rPr>
        <w:t>3.6.5.</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появления физического лица, объявленного ранее пропавшим без вести, и возобновления обслуживания задолженности.</w:t>
      </w:r>
    </w:p>
    <w:p w14:paraId="6C1E8FB2" w14:textId="0A6D2C17" w:rsidR="001D77FA" w:rsidRPr="00A12F11" w:rsidRDefault="001D77FA" w:rsidP="00A12F11">
      <w:pPr>
        <w:spacing w:before="240" w:line="276" w:lineRule="auto"/>
        <w:ind w:left="426" w:hanging="426"/>
        <w:jc w:val="both"/>
        <w:rPr>
          <w:rFonts w:ascii="Times New Roman" w:eastAsia="Batang" w:hAnsi="Times New Roman" w:cs="Times New Roman"/>
          <w:i/>
          <w:sz w:val="24"/>
          <w:szCs w:val="24"/>
        </w:rPr>
      </w:pPr>
      <w:r w:rsidRPr="00A12F11">
        <w:rPr>
          <w:rFonts w:ascii="Times New Roman" w:eastAsia="Batang" w:hAnsi="Times New Roman" w:cs="Times New Roman"/>
          <w:i/>
          <w:sz w:val="24"/>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B7B95D3"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4. Порядок определения PD по задолженности юридических лиц.</w:t>
      </w:r>
    </w:p>
    <w:p w14:paraId="64CE199A" w14:textId="53C44A07"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4.1.</w:t>
      </w:r>
      <w:r w:rsidR="001D77FA" w:rsidRPr="00A12F11">
        <w:rPr>
          <w:rFonts w:ascii="Times New Roman" w:hAnsi="Times New Roman" w:cs="Times New Roman"/>
          <w:b/>
          <w:sz w:val="24"/>
          <w:szCs w:val="24"/>
        </w:rPr>
        <w:t>Вероятность дефолта (PD) на горизонте 1 год определяется следующими методами:</w:t>
      </w:r>
    </w:p>
    <w:p w14:paraId="51B90375" w14:textId="655F858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w:t>
      </w:r>
      <w:r w:rsidR="001D77FA" w:rsidRPr="00A12F11">
        <w:rPr>
          <w:rFonts w:ascii="Times New Roman" w:hAnsi="Times New Roman" w:cs="Times New Roman"/>
          <w:sz w:val="24"/>
          <w:szCs w:val="24"/>
        </w:rPr>
        <w:t>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41C68987" w14:textId="540E865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4.1.1.1.</w:t>
      </w:r>
      <w:r w:rsidR="001D77FA" w:rsidRPr="00A12F11">
        <w:rPr>
          <w:rFonts w:ascii="Times New Roman" w:hAnsi="Times New Roman" w:cs="Times New Roman"/>
          <w:sz w:val="24"/>
          <w:szCs w:val="24"/>
        </w:rPr>
        <w:t xml:space="preserve">Для целей определения используемого рейтинга контрагента / эмитента анализируются рейтинги, присвоенные международными рейтинговыми агентствами (МРА)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w:t>
      </w:r>
    </w:p>
    <w:p w14:paraId="7896DAB4" w14:textId="720CDCD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4.1.1.2.</w:t>
      </w:r>
      <w:r w:rsidR="001D77FA" w:rsidRPr="00A12F11">
        <w:rPr>
          <w:rFonts w:ascii="Times New Roman" w:hAnsi="Times New Roman" w:cs="Times New Roman"/>
          <w:sz w:val="24"/>
          <w:szCs w:val="24"/>
        </w:rPr>
        <w:t>В случае наличия рейтинга, присвоенного несколькими рейтинговыми агентствами, выбирается наиболее актуальный рейтинг;</w:t>
      </w:r>
    </w:p>
    <w:p w14:paraId="4E51235A" w14:textId="0FC1842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4.1.1.3.</w:t>
      </w:r>
      <w:r w:rsidR="001D77FA" w:rsidRPr="00A12F11">
        <w:rPr>
          <w:rFonts w:ascii="Times New Roman" w:hAnsi="Times New Roman" w:cs="Times New Roman"/>
          <w:sz w:val="24"/>
          <w:szCs w:val="24"/>
        </w:rPr>
        <w:t>В случае одинаковой актуальности присвоенных рейтингов, выбирается наименьший рейтинг контрагента / заемщика.</w:t>
      </w:r>
    </w:p>
    <w:p w14:paraId="19C60632" w14:textId="6909A5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4.1.1.4.</w:t>
      </w:r>
      <w:r w:rsidR="001D77FA" w:rsidRPr="00A12F11">
        <w:rPr>
          <w:rFonts w:ascii="Times New Roman" w:hAnsi="Times New Roman" w:cs="Times New Roman"/>
          <w:sz w:val="24"/>
          <w:szCs w:val="24"/>
        </w:rPr>
        <w:t xml:space="preserve">Если отобранный рейтинг присвоен рейтинговым агентством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 xml:space="preserve">, то в соответствии с приложением  Д определяется соответствующий ему рейтинг от агентства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w:t>
      </w:r>
    </w:p>
    <w:p w14:paraId="5995C927" w14:textId="500D264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4.1.1.5.</w:t>
      </w:r>
      <w:r w:rsidR="001D77FA" w:rsidRPr="00A12F11">
        <w:rPr>
          <w:rFonts w:ascii="Times New Roman" w:hAnsi="Times New Roman" w:cs="Times New Roman"/>
          <w:sz w:val="24"/>
          <w:szCs w:val="24"/>
        </w:rPr>
        <w:t xml:space="preserve">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354B4C" w:rsidRPr="00A12F11">
        <w:rPr>
          <w:rFonts w:ascii="Times New Roman" w:hAnsi="Times New Roman" w:cs="Times New Roman"/>
          <w:sz w:val="24"/>
          <w:szCs w:val="24"/>
          <w:lang w:val="en-US"/>
        </w:rPr>
        <w:t>Moody</w:t>
      </w:r>
      <w:r w:rsidR="00354B4C" w:rsidRPr="00A12F11">
        <w:rPr>
          <w:rFonts w:ascii="Times New Roman" w:hAnsi="Times New Roman" w:cs="Times New Roman"/>
          <w:sz w:val="24"/>
          <w:szCs w:val="24"/>
        </w:rPr>
        <w:t>’</w:t>
      </w:r>
      <w:r w:rsidR="00354B4C" w:rsidRPr="00A12F11">
        <w:rPr>
          <w:rFonts w:ascii="Times New Roman" w:hAnsi="Times New Roman" w:cs="Times New Roman"/>
          <w:sz w:val="24"/>
          <w:szCs w:val="24"/>
          <w:lang w:val="en-US"/>
        </w:rPr>
        <w:t>s</w:t>
      </w:r>
      <w:r w:rsidR="00354B4C" w:rsidRPr="00A12F11">
        <w:rPr>
          <w:rFonts w:ascii="Times New Roman" w:hAnsi="Times New Roman" w:cs="Times New Roman"/>
          <w:sz w:val="24"/>
          <w:szCs w:val="24"/>
        </w:rPr>
        <w:t>;</w:t>
      </w:r>
    </w:p>
    <w:p w14:paraId="6252D367" w14:textId="5A689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4.1.2.</w:t>
      </w:r>
      <w:r w:rsidR="001D77FA" w:rsidRPr="00A12F11">
        <w:rPr>
          <w:rFonts w:ascii="Times New Roman" w:hAnsi="Times New Roman" w:cs="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1E850863" w14:textId="194118EB" w:rsidR="001D77FA" w:rsidRDefault="001D77FA" w:rsidP="00A12F11">
      <w:pPr>
        <w:spacing w:before="240" w:line="276" w:lineRule="auto"/>
        <w:ind w:left="426" w:hanging="426"/>
        <w:jc w:val="both"/>
        <w:rPr>
          <w:rFonts w:ascii="Times New Roman" w:hAnsi="Times New Roman" w:cs="Times New Roman"/>
          <w:sz w:val="24"/>
          <w:szCs w:val="24"/>
        </w:rPr>
      </w:pPr>
    </w:p>
    <w:p w14:paraId="7165A970" w14:textId="77777777" w:rsidR="00122100" w:rsidRPr="00A12F11" w:rsidRDefault="00122100" w:rsidP="00A12F11">
      <w:pPr>
        <w:spacing w:before="240" w:line="276" w:lineRule="auto"/>
        <w:ind w:left="426" w:hanging="426"/>
        <w:jc w:val="both"/>
        <w:rPr>
          <w:rFonts w:ascii="Times New Roman" w:hAnsi="Times New Roman" w:cs="Times New Roman"/>
          <w:sz w:val="24"/>
          <w:szCs w:val="24"/>
        </w:rPr>
      </w:pPr>
    </w:p>
    <w:p w14:paraId="709F7C01" w14:textId="5051490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4.1.3.</w:t>
      </w:r>
      <w:r w:rsidR="001D77FA" w:rsidRPr="00A12F11">
        <w:rPr>
          <w:rFonts w:ascii="Times New Roman" w:hAnsi="Times New Roman" w:cs="Times New Roman"/>
          <w:b/>
          <w:sz w:val="24"/>
          <w:szCs w:val="24"/>
        </w:rPr>
        <w:t>В случае отсутствия у контрагента рейтинга и отсутствия выпусков облигаций в следующем порядке:</w:t>
      </w:r>
    </w:p>
    <w:p w14:paraId="31651B7D" w14:textId="3B95AF4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4.1.3.1.</w:t>
      </w:r>
      <w:r w:rsidR="001D77FA" w:rsidRPr="00A12F11">
        <w:rPr>
          <w:rFonts w:ascii="Times New Roman" w:hAnsi="Times New Roman" w:cs="Times New Roman"/>
          <w:sz w:val="24"/>
          <w:szCs w:val="24"/>
        </w:rPr>
        <w:t>Для крупных контрагентов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0EDC5E42" w14:textId="36E631F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4.1.3.2.</w:t>
      </w:r>
      <w:r w:rsidR="001D77FA" w:rsidRPr="00A12F11">
        <w:rPr>
          <w:rFonts w:ascii="Times New Roman" w:hAnsi="Times New Roman" w:cs="Times New Roman"/>
          <w:sz w:val="24"/>
          <w:szCs w:val="24"/>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001D77FA" w:rsidRPr="00A12F11">
        <w:rPr>
          <w:rStyle w:val="aff7"/>
          <w:rFonts w:ascii="Times New Roman" w:hAnsi="Times New Roman" w:cs="Times New Roman"/>
          <w:sz w:val="24"/>
          <w:szCs w:val="24"/>
        </w:rPr>
        <w:footnoteReference w:id="16"/>
      </w:r>
      <w:r w:rsidR="001D77FA" w:rsidRPr="00A12F11">
        <w:rPr>
          <w:rFonts w:ascii="Times New Roman" w:hAnsi="Times New Roman" w:cs="Times New Roman"/>
          <w:sz w:val="24"/>
          <w:szCs w:val="24"/>
        </w:rPr>
        <w:t xml:space="preserve"> или  если их выручка составляет менее 4 млрд. руб. в год.</w:t>
      </w:r>
    </w:p>
    <w:p w14:paraId="4CA16BDF" w14:textId="6422251F" w:rsidR="001D77FA"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4.1.3.3.</w:t>
      </w:r>
      <w:r w:rsidR="001D77FA" w:rsidRPr="00A12F11">
        <w:rPr>
          <w:rFonts w:ascii="Times New Roman" w:hAnsi="Times New Roman" w:cs="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7B420A0" w14:textId="5CECB4F5"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4.2.</w:t>
      </w:r>
      <w:r w:rsidR="001D77FA" w:rsidRPr="00A12F11">
        <w:rPr>
          <w:rFonts w:ascii="Times New Roman" w:hAnsi="Times New Roman" w:cs="Times New Roman"/>
          <w:b/>
          <w:sz w:val="24"/>
          <w:szCs w:val="24"/>
        </w:rPr>
        <w:t>Расчет вероятности дефолта на разные сроки.</w:t>
      </w:r>
    </w:p>
    <w:p w14:paraId="0454996F" w14:textId="61A13D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4.2.1.</w:t>
      </w:r>
      <w:r w:rsidR="001D77FA" w:rsidRPr="00A12F11">
        <w:rPr>
          <w:rFonts w:ascii="Times New Roman" w:hAnsi="Times New Roman" w:cs="Times New Roman"/>
          <w:sz w:val="24"/>
          <w:szCs w:val="24"/>
        </w:rPr>
        <w:t>В случае, если срок до даты денежного потока не превышает 1 года от даты оценки, срок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для определения вероятности дефолта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определяется в следующем порядке:</w:t>
      </w:r>
    </w:p>
    <w:p w14:paraId="3C8EDBB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Используется вероятность дефолта на срок до даты денежного потока, при соблюдении следующего условия:</w:t>
      </w:r>
    </w:p>
    <w:p w14:paraId="4F90C6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вероятность дефолта не превышает вероятность дефолта для наихудшего рейтингового грейда (</w:t>
      </w:r>
      <w:r w:rsidRPr="00A12F11">
        <w:rPr>
          <w:rFonts w:ascii="Times New Roman" w:hAnsi="Times New Roman" w:cs="Times New Roman"/>
          <w:sz w:val="24"/>
          <w:szCs w:val="24"/>
          <w:lang w:val="en-US"/>
        </w:rPr>
        <w:t>Ca</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w:t>
      </w:r>
      <w:r w:rsidRPr="00A12F11">
        <w:rPr>
          <w:rFonts w:ascii="Times New Roman" w:hAnsi="Times New Roman" w:cs="Times New Roman"/>
          <w:sz w:val="24"/>
          <w:szCs w:val="24"/>
        </w:rPr>
        <w:t>)</w:t>
      </w:r>
      <w:r w:rsidRPr="00A12F11">
        <w:rPr>
          <w:rStyle w:val="aff7"/>
          <w:rFonts w:ascii="Times New Roman" w:hAnsi="Times New Roman" w:cs="Times New Roman"/>
          <w:sz w:val="24"/>
          <w:szCs w:val="24"/>
        </w:rPr>
        <w:footnoteReference w:id="17"/>
      </w:r>
      <w:r w:rsidRPr="00A12F11">
        <w:rPr>
          <w:rFonts w:ascii="Times New Roman" w:hAnsi="Times New Roman" w:cs="Times New Roman"/>
          <w:sz w:val="24"/>
          <w:szCs w:val="24"/>
        </w:rPr>
        <w:t xml:space="preserve"> по данным отчета (Annual default study) рейтингового агентства </w:t>
      </w:r>
      <w:r w:rsidRPr="00A12F11">
        <w:rPr>
          <w:rFonts w:ascii="Times New Roman" w:hAnsi="Times New Roman" w:cs="Times New Roman"/>
          <w:sz w:val="24"/>
          <w:szCs w:val="24"/>
          <w:lang w:val="en-US"/>
        </w:rPr>
        <w:t>Moody</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w:t>
      </w:r>
      <w:r w:rsidRPr="00A12F11">
        <w:rPr>
          <w:rFonts w:ascii="Times New Roman" w:hAnsi="Times New Roman" w:cs="Times New Roman"/>
          <w:sz w:val="24"/>
          <w:szCs w:val="24"/>
        </w:rPr>
        <w:t xml:space="preserve"> (для юридических лиц, не являющимися МСБ) или наихудшей вероятности дефолта для такого актива из категории МСБ.</w:t>
      </w:r>
    </w:p>
    <w:p w14:paraId="000E1CD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14:paraId="387400D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если срок до даты денежного потока превышает 1 год от даты оценки, то используется вероятность дефолта до даты денежного потока.</w:t>
      </w:r>
    </w:p>
    <w:p w14:paraId="2E25663C" w14:textId="4219D47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4.2.2.</w:t>
      </w:r>
      <w:r w:rsidR="001D77FA" w:rsidRPr="00A12F11">
        <w:rPr>
          <w:rFonts w:ascii="Times New Roman" w:hAnsi="Times New Roman" w:cs="Times New Roman"/>
          <w:sz w:val="24"/>
          <w:szCs w:val="24"/>
        </w:rPr>
        <w:t>Для расчета вероятности дефолта на срок отличный от 1 года используется формула расчета вероятности дефолта по подходу оценки интенсивности (Формула 3).</w:t>
      </w:r>
    </w:p>
    <w:p w14:paraId="6BCFCFA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3. Расчет вероятности дефолта по методу оценки интенсивности.</w:t>
      </w:r>
    </w:p>
    <w:p w14:paraId="1E5F35C8" w14:textId="77777777" w:rsidR="001D77FA" w:rsidRPr="00A12F11" w:rsidRDefault="00421381" w:rsidP="00A12F11">
      <w:pPr>
        <w:spacing w:before="240" w:line="276" w:lineRule="auto"/>
        <w:ind w:left="426" w:hanging="426"/>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PD</m:t>
              </m:r>
            </m:e>
            <m:sub>
              <m:r>
                <w:rPr>
                  <w:rFonts w:ascii="Cambria Math" w:hAnsi="Cambria Math" w:cs="Times New Roman"/>
                  <w:sz w:val="24"/>
                  <w:szCs w:val="24"/>
                </w:rPr>
                <m:t>D</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r>
                <m:rPr>
                  <m:nor/>
                </m:rPr>
                <w:rPr>
                  <w:rFonts w:ascii="Times New Roman" w:hAnsi="Times New Roman" w:cs="Times New Roman"/>
                  <w:sz w:val="24"/>
                  <w:szCs w:val="24"/>
                </w:rPr>
                <w:sym w:font="Symbol" w:char="F06C"/>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sup>
          </m:sSup>
          <m:r>
            <w:rPr>
              <w:rFonts w:ascii="Cambria Math" w:hAnsi="Cambria Math" w:cs="Times New Roman"/>
              <w:sz w:val="24"/>
              <w:szCs w:val="24"/>
            </w:rPr>
            <m:t xml:space="preserve">,  где </m:t>
          </m:r>
          <m:r>
            <m:rPr>
              <m:sty m:val="p"/>
            </m:rPr>
            <w:rPr>
              <w:rFonts w:ascii="Cambria Math" w:hAnsi="Cambria Math" w:cs="Times New Roman"/>
              <w:sz w:val="24"/>
              <w:szCs w:val="24"/>
            </w:rPr>
            <w:sym w:font="Symbol" w:char="F06C"/>
          </m:r>
          <m:r>
            <w:rPr>
              <w:rFonts w:ascii="Cambria Math" w:hAnsi="Cambria Math" w:cs="Times New Roman"/>
              <w:sz w:val="24"/>
              <w:szCs w:val="24"/>
            </w:rPr>
            <m:t>=</m:t>
          </m:r>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(1-PD)</m:t>
              </m:r>
            </m:e>
          </m:func>
          <m:r>
            <w:rPr>
              <w:rStyle w:val="aff7"/>
              <w:rFonts w:ascii="Cambria Math" w:hAnsi="Cambria Math" w:cs="Times New Roman"/>
              <w:i/>
              <w:sz w:val="24"/>
              <w:szCs w:val="24"/>
              <w:lang w:val="en-US"/>
            </w:rPr>
            <w:footnoteReference w:id="18"/>
          </m:r>
        </m:oMath>
      </m:oMathPara>
    </w:p>
    <w:p w14:paraId="459EF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где, </w:t>
      </w:r>
    </w:p>
    <w:p w14:paraId="7FA824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PD</m:t>
        </m:r>
      </m:oMath>
      <w:r w:rsidRPr="00A12F11">
        <w:rPr>
          <w:rFonts w:ascii="Times New Roman" w:hAnsi="Times New Roman" w:cs="Times New Roman"/>
          <w:sz w:val="24"/>
          <w:szCs w:val="24"/>
        </w:rPr>
        <w:t xml:space="preserve"> – вероятность дефолта эмитента/дебитора на горизонте 1 год;</w:t>
      </w:r>
    </w:p>
    <w:p w14:paraId="708348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D</m:t>
        </m:r>
      </m:oMath>
      <w:r w:rsidRPr="00A12F11">
        <w:rPr>
          <w:rFonts w:ascii="Times New Roman" w:hAnsi="Times New Roman" w:cs="Times New Roman"/>
          <w:sz w:val="24"/>
          <w:szCs w:val="24"/>
        </w:rPr>
        <w:t xml:space="preserve"> – количество календарных дней до погашения/оферты;</w:t>
      </w:r>
    </w:p>
    <w:p w14:paraId="5CBFB89A" w14:textId="77777777" w:rsidR="009F51CB"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T</m:t>
        </m:r>
      </m:oMath>
      <w:r w:rsidRPr="00A12F11">
        <w:rPr>
          <w:rFonts w:ascii="Times New Roman" w:hAnsi="Times New Roman" w:cs="Times New Roman"/>
          <w:sz w:val="24"/>
          <w:szCs w:val="24"/>
        </w:rPr>
        <w:t xml:space="preserve"> – количество календарных дней в году, в котором осуществляется расчет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PD</m:t>
            </m:r>
          </m:e>
          <m:sub>
            <m:r>
              <m:rPr>
                <m:sty m:val="p"/>
              </m:rPr>
              <w:rPr>
                <w:rFonts w:ascii="Cambria Math" w:hAnsi="Cambria Math" w:cs="Times New Roman"/>
                <w:sz w:val="24"/>
                <w:szCs w:val="24"/>
              </w:rPr>
              <m:t>D</m:t>
            </m:r>
          </m:sub>
        </m:sSub>
      </m:oMath>
      <w:r w:rsidRPr="00A12F11">
        <w:rPr>
          <w:rFonts w:ascii="Times New Roman" w:hAnsi="Times New Roman" w:cs="Times New Roman"/>
          <w:sz w:val="24"/>
          <w:szCs w:val="24"/>
        </w:rPr>
        <w:t>;</w:t>
      </w:r>
    </w:p>
    <w:p w14:paraId="7747AF38" w14:textId="31D8945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vertAlign w:val="subscript"/>
          <w:lang w:val="en-US"/>
        </w:rPr>
        <w:t>D</w:t>
      </w:r>
      <w:r w:rsidRPr="00A12F11">
        <w:rPr>
          <w:rFonts w:ascii="Times New Roman" w:hAnsi="Times New Roman" w:cs="Times New Roman"/>
          <w:sz w:val="24"/>
          <w:szCs w:val="24"/>
        </w:rPr>
        <w:t xml:space="preserve"> округляется до 4 знаков после запятой.</w:t>
      </w:r>
    </w:p>
    <w:p w14:paraId="428E0F5E" w14:textId="50A74FA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4.3.</w:t>
      </w:r>
      <w:r w:rsidR="009F51CB" w:rsidRPr="00A12F11">
        <w:rPr>
          <w:rFonts w:ascii="Times New Roman" w:hAnsi="Times New Roman" w:cs="Times New Roman"/>
          <w:b/>
          <w:sz w:val="24"/>
          <w:szCs w:val="24"/>
        </w:rPr>
        <w:t xml:space="preserve"> </w:t>
      </w:r>
      <w:r w:rsidR="001D77FA" w:rsidRPr="00A12F11">
        <w:rPr>
          <w:rFonts w:ascii="Times New Roman" w:hAnsi="Times New Roman" w:cs="Times New Roman"/>
          <w:b/>
          <w:sz w:val="24"/>
          <w:szCs w:val="24"/>
        </w:rPr>
        <w:t>Расчет вероятности дефолта для обесцененной задолженности, не находящейся в дефолте.</w:t>
      </w:r>
    </w:p>
    <w:p w14:paraId="44DC0F0F" w14:textId="5BFD605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4.3.1.</w:t>
      </w:r>
      <w:r w:rsidR="001D77FA" w:rsidRPr="00A12F11">
        <w:rPr>
          <w:rFonts w:ascii="Times New Roman" w:hAnsi="Times New Roman" w:cs="Times New Roman"/>
          <w:sz w:val="24"/>
          <w:szCs w:val="24"/>
        </w:rPr>
        <w:t>Для обесцененной просроченной задолженности</w:t>
      </w:r>
      <w:r w:rsidR="001D77FA" w:rsidRPr="00A12F11">
        <w:rPr>
          <w:rStyle w:val="aff7"/>
          <w:rFonts w:ascii="Times New Roman" w:hAnsi="Times New Roman" w:cs="Times New Roman"/>
          <w:sz w:val="24"/>
          <w:szCs w:val="24"/>
        </w:rPr>
        <w:footnoteReference w:id="19"/>
      </w:r>
      <w:r w:rsidR="001D77FA" w:rsidRPr="00A12F11">
        <w:rPr>
          <w:rFonts w:ascii="Times New Roman" w:hAnsi="Times New Roman" w:cs="Times New Roman"/>
          <w:sz w:val="24"/>
          <w:szCs w:val="24"/>
        </w:rPr>
        <w:t xml:space="preserve">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14:paraId="493A920F" w14:textId="56320722"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4</w:t>
      </w:r>
      <w:r w:rsidRPr="00A12F11">
        <w:rPr>
          <w:rFonts w:ascii="Times New Roman" w:hAnsi="Times New Roman" w:cs="Times New Roman"/>
          <w:b/>
          <w:sz w:val="24"/>
          <w:szCs w:val="24"/>
        </w:rPr>
        <w:t>.</w:t>
      </w:r>
    </w:p>
    <w:p w14:paraId="67021A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 (1-</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p>
    <w:p w14:paraId="56C32E8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8DDE8A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просрочки,</w:t>
      </w:r>
    </w:p>
    <w:p w14:paraId="143364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12A44D5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для признания данного типа задолженности дефолтной,</w:t>
      </w:r>
    </w:p>
    <w:p w14:paraId="4436A75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 – вероятность дефолта для непросроченной задолженности, которая использовалась для актива на момент перед возникновением просрочки. Если у актива не было соответствующей вероятности дефолта, то она рассчитывается на день перед нарушением срока исполнения обязательств.</w:t>
      </w:r>
    </w:p>
    <w:p w14:paraId="7FBF888D" w14:textId="3DA7176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14:paraId="71E68D65" w14:textId="4E3A8A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4CB456B" w14:textId="36CF5D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001D77FA" w:rsidRPr="00A12F11">
        <w:rPr>
          <w:rFonts w:ascii="Times New Roman" w:hAnsi="Times New Roman" w:cs="Times New Roman"/>
          <w:sz w:val="24"/>
          <w:szCs w:val="24"/>
          <w:lang w:val="en-US"/>
        </w:rPr>
        <w:t>Ca</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w:t>
      </w:r>
    </w:p>
    <w:p w14:paraId="7532D8BC" w14:textId="4C2FDD5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По обесцененным обязательствам контрагентов-физических лиц применяется CoR, рас</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 xml:space="preserve">читанный для стадии 2. </w:t>
      </w:r>
    </w:p>
    <w:p w14:paraId="3AB18D59" w14:textId="634BDEC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48885C48" w14:textId="0B44E04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4.3.2.5.</w:t>
      </w:r>
      <w:r w:rsidR="001D77FA" w:rsidRPr="00A12F11">
        <w:rPr>
          <w:rFonts w:ascii="Times New Roman" w:hAnsi="Times New Roman" w:cs="Times New Roman"/>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Раздела.</w:t>
      </w:r>
    </w:p>
    <w:p w14:paraId="324924E7" w14:textId="5FA1F45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4.4.</w:t>
      </w:r>
      <w:r w:rsidR="001D77FA" w:rsidRPr="00A12F11">
        <w:rPr>
          <w:rFonts w:ascii="Times New Roman" w:hAnsi="Times New Roman" w:cs="Times New Roman"/>
          <w:b/>
          <w:sz w:val="24"/>
          <w:szCs w:val="24"/>
        </w:rPr>
        <w:t xml:space="preserve">Случай обесценения нескольких задолженностей одновременно. </w:t>
      </w:r>
    </w:p>
    <w:p w14:paraId="3B19773A" w14:textId="71E8DC1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4.4.1.</w:t>
      </w:r>
      <w:r w:rsidR="001D77FA" w:rsidRPr="00A12F11">
        <w:rPr>
          <w:rFonts w:ascii="Times New Roman" w:hAnsi="Times New Roman" w:cs="Times New Roman"/>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в качестве начальной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используется вероятность дефолта, которая была установлена на день перед первым нарушением сроков исполнения обязательств.</w:t>
      </w:r>
    </w:p>
    <w:p w14:paraId="5AFFC695" w14:textId="675B28C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4.4.2.</w:t>
      </w:r>
      <w:r w:rsidR="001D77FA" w:rsidRPr="00A12F11">
        <w:rPr>
          <w:rFonts w:ascii="Times New Roman" w:hAnsi="Times New Roman" w:cs="Times New Roman"/>
          <w:sz w:val="24"/>
          <w:szCs w:val="24"/>
        </w:rPr>
        <w:t xml:space="preserve">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используется вероятность дефолта контрагента с учетом обесценения.</w:t>
      </w:r>
    </w:p>
    <w:p w14:paraId="21722C28" w14:textId="42846D3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4.4.3.</w:t>
      </w:r>
      <w:r w:rsidR="001D77FA" w:rsidRPr="00A12F11">
        <w:rPr>
          <w:rFonts w:ascii="Times New Roman" w:hAnsi="Times New Roman" w:cs="Times New Roman"/>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рассчитывается на срок до даты денежного потока в соответствии с п. 4.2. </w:t>
      </w:r>
    </w:p>
    <w:p w14:paraId="3414AED5" w14:textId="138FD4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5. Соответствие</w:t>
      </w:r>
      <w:r w:rsidR="001D77FA" w:rsidRPr="00A12F11">
        <w:rPr>
          <w:rFonts w:ascii="Times New Roman" w:hAnsi="Times New Roman" w:cs="Times New Roman"/>
          <w:b/>
          <w:sz w:val="24"/>
          <w:szCs w:val="24"/>
        </w:rPr>
        <w:t xml:space="preserve"> шкал рейтинговых агентств.</w:t>
      </w:r>
    </w:p>
    <w:p w14:paraId="1883F2FB" w14:textId="6C926FA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1. Соответствие</w:t>
      </w:r>
      <w:r w:rsidR="001D77FA" w:rsidRPr="00A12F11">
        <w:rPr>
          <w:rFonts w:ascii="Times New Roman" w:hAnsi="Times New Roman" w:cs="Times New Roman"/>
          <w:sz w:val="24"/>
          <w:szCs w:val="24"/>
        </w:rPr>
        <w:t xml:space="preserve"> шкал рейтингов устанавливается в соответствии с Таблицей 1 Приложения Д.</w:t>
      </w:r>
    </w:p>
    <w:p w14:paraId="190D333E" w14:textId="69B8B9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2. Соответствие</w:t>
      </w:r>
      <w:r w:rsidR="001D77FA" w:rsidRPr="00A12F11">
        <w:rPr>
          <w:rFonts w:ascii="Times New Roman" w:hAnsi="Times New Roman" w:cs="Times New Roman"/>
          <w:sz w:val="24"/>
          <w:szCs w:val="24"/>
        </w:rPr>
        <w:t xml:space="preserve">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2A73A3DF" w14:textId="7D1BA79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3. Соответствие</w:t>
      </w:r>
      <w:r w:rsidR="001D77FA" w:rsidRPr="00A12F11">
        <w:rPr>
          <w:rFonts w:ascii="Times New Roman" w:hAnsi="Times New Roman" w:cs="Times New Roman"/>
          <w:sz w:val="24"/>
          <w:szCs w:val="24"/>
        </w:rPr>
        <w:t xml:space="preserve"> рейтингов пересматривается в случае изменения рейтинговых шкал рейтинговых агентств.</w:t>
      </w:r>
    </w:p>
    <w:p w14:paraId="31626D64" w14:textId="2059AA29"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6. Порядок</w:t>
      </w:r>
      <w:r w:rsidR="001D77FA" w:rsidRPr="00A12F11">
        <w:rPr>
          <w:rFonts w:ascii="Times New Roman" w:hAnsi="Times New Roman" w:cs="Times New Roman"/>
          <w:b/>
          <w:sz w:val="24"/>
          <w:szCs w:val="24"/>
        </w:rPr>
        <w:t xml:space="preserve"> использования рейтингов и учета действий рейтинговых агентств.</w:t>
      </w:r>
    </w:p>
    <w:p w14:paraId="280B64D4" w14:textId="56A3020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w:t>
      </w:r>
      <w:r w:rsidR="009F51CB"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5827E824" w14:textId="2D4DCC0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4.6.2.</w:t>
      </w:r>
      <w:r w:rsidR="001D77FA" w:rsidRPr="00A12F11">
        <w:rPr>
          <w:rFonts w:ascii="Times New Roman" w:hAnsi="Times New Roman" w:cs="Times New Roman"/>
          <w:sz w:val="24"/>
          <w:szCs w:val="24"/>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0E017FBA" w14:textId="20475EF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7. Для</w:t>
      </w:r>
      <w:r w:rsidR="001D77FA" w:rsidRPr="00A12F11">
        <w:rPr>
          <w:rFonts w:ascii="Times New Roman" w:hAnsi="Times New Roman" w:cs="Times New Roman"/>
          <w:b/>
          <w:sz w:val="24"/>
          <w:szCs w:val="24"/>
        </w:rPr>
        <w:t xml:space="preserve"> активов контрагента, на</w:t>
      </w:r>
      <w:r w:rsidRPr="00A12F11">
        <w:rPr>
          <w:rFonts w:ascii="Times New Roman" w:hAnsi="Times New Roman" w:cs="Times New Roman"/>
          <w:b/>
          <w:sz w:val="24"/>
          <w:szCs w:val="24"/>
        </w:rPr>
        <w:t>ходящегося в состоянии дефолта,</w:t>
      </w:r>
      <w:r w:rsidR="001D77FA" w:rsidRPr="00A12F11">
        <w:rPr>
          <w:rFonts w:ascii="Times New Roman" w:hAnsi="Times New Roman" w:cs="Times New Roman"/>
          <w:b/>
          <w:sz w:val="24"/>
          <w:szCs w:val="24"/>
          <w:lang w:val="en-US"/>
        </w:rPr>
        <w:t>PD</w:t>
      </w:r>
      <w:r w:rsidR="001D77FA" w:rsidRPr="00A12F11">
        <w:rPr>
          <w:rFonts w:ascii="Times New Roman" w:hAnsi="Times New Roman" w:cs="Times New Roman"/>
          <w:b/>
          <w:sz w:val="24"/>
          <w:szCs w:val="24"/>
        </w:rPr>
        <w:t xml:space="preserve"> устанавливается равной 1.</w:t>
      </w:r>
    </w:p>
    <w:p w14:paraId="6A8DC375" w14:textId="1B8B08F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w:t>
      </w:r>
      <w:r w:rsidR="009F51CB"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задолженности, обеспеченной поручительством, гарантией, опционным соглашением используется  PD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контрагента - выше.</w:t>
      </w:r>
    </w:p>
    <w:p w14:paraId="5B9044E1" w14:textId="00A544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w:t>
      </w:r>
      <w:r w:rsidR="009F51CB" w:rsidRPr="00A12F11">
        <w:rPr>
          <w:rFonts w:ascii="Times New Roman" w:hAnsi="Times New Roman" w:cs="Times New Roman"/>
          <w:sz w:val="24"/>
          <w:szCs w:val="24"/>
        </w:rPr>
        <w:t>9. Для</w:t>
      </w:r>
      <w:r w:rsidR="001D77FA" w:rsidRPr="00A12F11">
        <w:rPr>
          <w:rFonts w:ascii="Times New Roman" w:hAnsi="Times New Roman" w:cs="Times New Roman"/>
          <w:sz w:val="24"/>
          <w:szCs w:val="24"/>
        </w:rPr>
        <w:t xml:space="preserve"> задолженности, обеспеченной страховкой используются PD должника по договору (активу). Данный подход не применяется для задолженности, обеспеченной страховым покрытием.</w:t>
      </w:r>
    </w:p>
    <w:p w14:paraId="48AF62B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2C3B598C" w14:textId="677585A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Раздел 5.  Расчет LGD</w:t>
      </w:r>
    </w:p>
    <w:p w14:paraId="7BE7165D" w14:textId="5F30B935"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001D77FA" w:rsidRPr="00A12F11">
        <w:rPr>
          <w:rStyle w:val="aff7"/>
          <w:rFonts w:ascii="Times New Roman" w:hAnsi="Times New Roman" w:cs="Times New Roman"/>
          <w:sz w:val="24"/>
          <w:szCs w:val="24"/>
        </w:rPr>
        <w:footnoteReference w:id="20"/>
      </w:r>
      <w:r w:rsidR="001D77FA" w:rsidRPr="00A12F11">
        <w:rPr>
          <w:rFonts w:ascii="Times New Roman" w:hAnsi="Times New Roman" w:cs="Times New Roman"/>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w:t>
      </w:r>
    </w:p>
    <w:p w14:paraId="6B51EB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Указанный пункт применяется только в случае невозможности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в соответствии с п. 5.13.</w:t>
      </w:r>
    </w:p>
    <w:p w14:paraId="40B3B9A0" w14:textId="6B3E043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для физических лиц и МСБ при отсутствии обеспечения принимается равным 100%.</w:t>
      </w:r>
    </w:p>
    <w:p w14:paraId="49E50FDB" w14:textId="45348EBE"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739E3180" w14:textId="0C54E412"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контрагента выше.</w:t>
      </w:r>
    </w:p>
    <w:p w14:paraId="16DDFFC0" w14:textId="2FBE403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5.5.</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w:t>
      </w:r>
    </w:p>
    <w:p w14:paraId="5DA93327" w14:textId="0515462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5.6.</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ином случае, используется дисконтированная сумма страховки. Порядок определения дисконта (R) и срока (Tn) указан в описании </w:t>
      </w:r>
      <w:r w:rsidR="001D77FA" w:rsidRPr="00C70589">
        <w:rPr>
          <w:rFonts w:ascii="Times New Roman" w:hAnsi="Times New Roman" w:cs="Times New Roman"/>
          <w:sz w:val="24"/>
          <w:szCs w:val="24"/>
        </w:rPr>
        <w:t xml:space="preserve">формулы </w:t>
      </w:r>
      <w:r w:rsidR="00C70589" w:rsidRPr="00C70589">
        <w:rPr>
          <w:rFonts w:ascii="Times New Roman" w:hAnsi="Times New Roman" w:cs="Times New Roman"/>
          <w:sz w:val="24"/>
          <w:szCs w:val="24"/>
        </w:rPr>
        <w:t>5</w:t>
      </w:r>
      <w:r w:rsidR="001D77FA" w:rsidRPr="00A12F11">
        <w:rPr>
          <w:rFonts w:ascii="Times New Roman" w:hAnsi="Times New Roman" w:cs="Times New Roman"/>
          <w:sz w:val="24"/>
          <w:szCs w:val="24"/>
        </w:rPr>
        <w:t>.</w:t>
      </w:r>
    </w:p>
    <w:p w14:paraId="1379B9B6" w14:textId="469F7D84" w:rsidR="006278B2"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5.7.</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качестве ликвидационной стоимости обеспечения принимается дисконтированная справедливая стоимость обеспечения / страховки по формуле:</w:t>
      </w:r>
    </w:p>
    <w:p w14:paraId="358DF6C8" w14:textId="0CB8067C"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C70589">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5</w:t>
      </w:r>
      <w:r w:rsidRPr="00C70589">
        <w:rPr>
          <w:rFonts w:ascii="Times New Roman" w:hAnsi="Times New Roman" w:cs="Times New Roman"/>
          <w:b/>
          <w:sz w:val="24"/>
          <w:szCs w:val="24"/>
        </w:rPr>
        <w:t>.</w:t>
      </w:r>
    </w:p>
    <w:p w14:paraId="22411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nary>
          <m:naryPr>
            <m:chr m:val="∑"/>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discount</m:t>
                </m:r>
              </m:num>
              <m:den>
                <m:sSup>
                  <m:sSupPr>
                    <m:ctrlPr>
                      <w:rPr>
                        <w:rFonts w:ascii="Cambria Math" w:hAnsi="Cambria Math" w:cs="Times New Roman"/>
                        <w:i/>
                        <w:iCs/>
                        <w:sz w:val="24"/>
                        <w:szCs w:val="24"/>
                      </w:rPr>
                    </m:ctrlPr>
                  </m:sSupPr>
                  <m:e>
                    <m:r>
                      <w:rPr>
                        <w:rFonts w:ascii="Cambria Math" w:hAnsi="Cambria Math" w:cs="Times New Roman"/>
                        <w:sz w:val="24"/>
                        <w:szCs w:val="24"/>
                      </w:rPr>
                      <m:t>(1+R)</m:t>
                    </m:r>
                  </m:e>
                  <m:sup>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n</m:t>
                        </m:r>
                      </m:sub>
                    </m:sSub>
                    <m:r>
                      <w:rPr>
                        <w:rFonts w:ascii="Cambria Math" w:hAnsi="Cambria Math" w:cs="Times New Roman"/>
                        <w:sz w:val="24"/>
                        <w:szCs w:val="24"/>
                      </w:rPr>
                      <m:t>/365</m:t>
                    </m:r>
                  </m:sup>
                </m:sSup>
              </m:den>
            </m:f>
          </m:e>
        </m:nary>
        <m:r>
          <w:rPr>
            <w:rFonts w:ascii="Cambria Math" w:hAnsi="Cambria Math" w:cs="Times New Roman"/>
            <w:sz w:val="24"/>
            <w:szCs w:val="24"/>
          </w:rPr>
          <m:t xml:space="preserve">   </m:t>
        </m:r>
      </m:oMath>
      <w:r w:rsidRPr="00A12F11">
        <w:rPr>
          <w:rFonts w:ascii="Times New Roman" w:hAnsi="Times New Roman" w:cs="Times New Roman"/>
          <w:sz w:val="24"/>
          <w:szCs w:val="24"/>
        </w:rPr>
        <w:t>, где</w:t>
      </w:r>
    </w:p>
    <w:p w14:paraId="374DA81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дисконтированная справедливая стоимость обеспечения / страховки;</w:t>
      </w:r>
    </w:p>
    <w:p w14:paraId="3935992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w:t>
      </w:r>
      <w:r w:rsidRPr="00A12F11">
        <w:rPr>
          <w:rFonts w:ascii="Times New Roman" w:hAnsi="Times New Roman" w:cs="Times New Roman"/>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584216A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A6B23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w:t>
      </w:r>
    </w:p>
    <w:p w14:paraId="7B2BF67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залогом ценных бумаг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в следующем порядке:</w:t>
      </w:r>
    </w:p>
    <w:p w14:paraId="609B50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непросроченной задолженности – срок до даты денежного потока (если иной срок невозможно установить, исходя из условий договора);</w:t>
      </w:r>
    </w:p>
    <w:p w14:paraId="416C48E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просроченной задолженности – срок 1 день, если иной срок не установлен мотивированным суждением;</w:t>
      </w:r>
    </w:p>
    <w:p w14:paraId="72353F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дефолтной задолженности, обеспеченной – срок, установленный мотивированным суждением. </w:t>
      </w:r>
    </w:p>
    <w:p w14:paraId="7FD0ED5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договором страхования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D2DB0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Срок получения залога определяется из сущности договора залога.</w:t>
      </w:r>
    </w:p>
    <w:p w14:paraId="2CE335C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случаев судебных разбирательств (планируемых или текущих) с залогодателем / страховщиком, срок не может составлять менее 6 месяцев.</w:t>
      </w:r>
    </w:p>
    <w:p w14:paraId="239306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lang w:val="en-US"/>
        </w:rPr>
        <w:t>duscount</w:t>
      </w:r>
      <w:r w:rsidRPr="00A12F11">
        <w:rPr>
          <w:rFonts w:ascii="Times New Roman" w:hAnsi="Times New Roman" w:cs="Times New Roman"/>
          <w:b/>
          <w:sz w:val="24"/>
          <w:szCs w:val="24"/>
        </w:rPr>
        <w:t xml:space="preserve"> – дисконт, определяемый в следующем порядке:</w:t>
      </w:r>
    </w:p>
    <w:p w14:paraId="5A7436EC"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отношении задолженности, обеспеченной торгуемыми ценными бумагами: </w:t>
      </w:r>
    </w:p>
    <w:p w14:paraId="376BE34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используемых для обеспечения по сделкам РЕПО на Московской бирже – соответствующий дисконт для сделок РЕПО</w:t>
      </w:r>
      <w:r w:rsidRPr="00A12F11">
        <w:rPr>
          <w:rStyle w:val="aff7"/>
          <w:rFonts w:ascii="Times New Roman" w:hAnsi="Times New Roman" w:cs="Times New Roman"/>
          <w:sz w:val="24"/>
          <w:szCs w:val="24"/>
        </w:rPr>
        <w:footnoteReference w:id="21"/>
      </w:r>
      <w:r w:rsidRPr="00A12F11">
        <w:rPr>
          <w:rFonts w:ascii="Times New Roman" w:hAnsi="Times New Roman" w:cs="Times New Roman"/>
          <w:sz w:val="24"/>
          <w:szCs w:val="24"/>
        </w:rPr>
        <w:t>;</w:t>
      </w:r>
    </w:p>
    <w:p w14:paraId="40FB426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акций иностранных эмитентов, торгуемых на организованных рынках стран ОЭСР:</w:t>
      </w:r>
    </w:p>
    <w:p w14:paraId="022F76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1D994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4325C5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B0C8D0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задолженности, обеспеченной договором страхования (за исключением случая, указанного в п. 5.5.:</w:t>
      </w:r>
    </w:p>
    <w:p w14:paraId="4B8C080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присвоен рейтинг ниже BBB- (Baa3) и/или компания не является одобренной для страхования ни одним банком из приложения Б – дисконт рассчитывается как PD страховой компании * LGD страховой компании.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страховой компании осуществляется в соответствии с порядком, установленным в Разделе 4.</w:t>
      </w:r>
    </w:p>
    <w:p w14:paraId="561D12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не присвоен рейтинг, дисконт рассчитывается как PD для рейтинга Caa * LGD. При этом, размер LGD признается равным 100%.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w:t>
      </w:r>
      <w:r w:rsidRPr="00A12F11">
        <w:rPr>
          <w:rFonts w:ascii="Times New Roman" w:hAnsi="Times New Roman" w:cs="Times New Roman"/>
          <w:sz w:val="24"/>
          <w:szCs w:val="24"/>
          <w:lang w:val="en-US"/>
        </w:rPr>
        <w:t>Caa</w:t>
      </w:r>
      <w:r w:rsidRPr="00A12F11">
        <w:rPr>
          <w:rFonts w:ascii="Times New Roman" w:hAnsi="Times New Roman" w:cs="Times New Roman"/>
          <w:sz w:val="24"/>
          <w:szCs w:val="24"/>
        </w:rPr>
        <w:t xml:space="preserve"> осуществляется в соответствии с порядком, установленным в Разделе 4.</w:t>
      </w:r>
    </w:p>
    <w:p w14:paraId="3463E154" w14:textId="0E2CB199"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5.8.</w:t>
      </w:r>
      <w:r w:rsidR="001D77FA" w:rsidRPr="00A12F11">
        <w:rPr>
          <w:rFonts w:ascii="Times New Roman" w:hAnsi="Times New Roman" w:cs="Times New Roman"/>
          <w:b/>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76C82E1A" w14:textId="76C087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5.8.1.</w:t>
      </w:r>
      <w:r w:rsidR="001D77FA" w:rsidRPr="00A12F11">
        <w:rPr>
          <w:rFonts w:ascii="Times New Roman" w:hAnsi="Times New Roman" w:cs="Times New Roman"/>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89D8C6F" w14:textId="62C8FDB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5.8.2.</w:t>
      </w:r>
      <w:r w:rsidR="001D77FA" w:rsidRPr="00A12F11">
        <w:rPr>
          <w:rFonts w:ascii="Times New Roman" w:hAnsi="Times New Roman" w:cs="Times New Roman"/>
          <w:sz w:val="24"/>
          <w:szCs w:val="24"/>
        </w:rPr>
        <w:t>Необеспеченные обязательства поручителя/гаранта/страховщика, находящегося в состоянии дефолта, не принимаются для расчета.</w:t>
      </w:r>
    </w:p>
    <w:p w14:paraId="4F217B3B" w14:textId="1FF6814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5.8.3.</w:t>
      </w:r>
      <w:r w:rsidR="001D77FA" w:rsidRPr="00A12F11">
        <w:rPr>
          <w:rFonts w:ascii="Times New Roman" w:hAnsi="Times New Roman" w:cs="Times New Roman"/>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5281587B" w14:textId="20761EB9"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5.9.</w:t>
      </w:r>
      <w:r w:rsidR="001D77FA" w:rsidRPr="00A12F11">
        <w:rPr>
          <w:rFonts w:ascii="Times New Roman" w:hAnsi="Times New Roman" w:cs="Times New Roman"/>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472C3C8D" w14:textId="1A757AC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5.10.</w:t>
      </w:r>
      <w:r w:rsidR="001D77FA" w:rsidRPr="00A12F11">
        <w:rPr>
          <w:rFonts w:ascii="Times New Roman" w:hAnsi="Times New Roman" w:cs="Times New Roman"/>
          <w:sz w:val="24"/>
          <w:szCs w:val="24"/>
        </w:rPr>
        <w:t xml:space="preserve">Для жилой недвижимости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может приниматься в размере не менее чем 15% от текущей стоимости обеспечения. </w:t>
      </w:r>
    </w:p>
    <w:p w14:paraId="071BCD36" w14:textId="22BFBB8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5.11.</w:t>
      </w:r>
      <w:r w:rsidR="001D77FA" w:rsidRPr="00A12F11">
        <w:rPr>
          <w:rFonts w:ascii="Times New Roman" w:hAnsi="Times New Roman" w:cs="Times New Roman"/>
          <w:sz w:val="24"/>
          <w:szCs w:val="24"/>
        </w:rPr>
        <w:t>Для нежилой и коммерческой жилой</w:t>
      </w:r>
      <w:r w:rsidR="001D77FA" w:rsidRPr="00A12F11">
        <w:rPr>
          <w:rStyle w:val="aff7"/>
          <w:rFonts w:ascii="Times New Roman" w:hAnsi="Times New Roman" w:cs="Times New Roman"/>
          <w:sz w:val="24"/>
          <w:szCs w:val="24"/>
        </w:rPr>
        <w:footnoteReference w:id="22"/>
      </w:r>
      <w:r w:rsidR="001D77FA" w:rsidRPr="00A12F11">
        <w:rPr>
          <w:rFonts w:ascii="Times New Roman" w:hAnsi="Times New Roman" w:cs="Times New Roman"/>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509C37E1" w14:textId="2C77EB3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5.12.</w:t>
      </w:r>
      <w:r w:rsidR="001D77FA" w:rsidRPr="00A12F11">
        <w:rPr>
          <w:rFonts w:ascii="Times New Roman" w:hAnsi="Times New Roman" w:cs="Times New Roman"/>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14189379" w14:textId="50D1DCC8"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5.13.</w:t>
      </w:r>
      <w:r w:rsidR="001D77FA" w:rsidRPr="00A12F11">
        <w:rPr>
          <w:rFonts w:ascii="Times New Roman" w:hAnsi="Times New Roman" w:cs="Times New Roman"/>
          <w:b/>
          <w:sz w:val="24"/>
          <w:szCs w:val="24"/>
        </w:rPr>
        <w:t xml:space="preserve">Определение </w:t>
      </w:r>
      <w:r w:rsidR="001D77FA" w:rsidRPr="00A12F11">
        <w:rPr>
          <w:rFonts w:ascii="Times New Roman" w:hAnsi="Times New Roman" w:cs="Times New Roman"/>
          <w:b/>
          <w:sz w:val="24"/>
          <w:szCs w:val="24"/>
          <w:lang w:val="en-US"/>
        </w:rPr>
        <w:t>LGD</w:t>
      </w:r>
      <w:r w:rsidR="001D77FA" w:rsidRPr="00A12F11">
        <w:rPr>
          <w:rFonts w:ascii="Times New Roman" w:hAnsi="Times New Roman" w:cs="Times New Roman"/>
          <w:b/>
          <w:sz w:val="24"/>
          <w:szCs w:val="24"/>
        </w:rPr>
        <w:t xml:space="preserve"> при наличии котировок по публичному долгу контрагента либо компаний из группы контрагента:</w:t>
      </w:r>
    </w:p>
    <w:p w14:paraId="0DDE4F8B" w14:textId="61CD54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5.13.1.</w:t>
      </w:r>
      <w:r w:rsidR="001D77FA" w:rsidRPr="00A12F11">
        <w:rPr>
          <w:rFonts w:ascii="Times New Roman" w:hAnsi="Times New Roman" w:cs="Times New Roman"/>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используются (при наличии) котировки публичного долга.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может быть использовано как оценка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w:t>
      </w:r>
    </w:p>
    <w:p w14:paraId="249E3F05" w14:textId="18C03D5F"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5.13.2.</w:t>
      </w:r>
      <w:r w:rsidR="001D77FA" w:rsidRPr="00A12F11">
        <w:rPr>
          <w:rFonts w:ascii="Times New Roman" w:hAnsi="Times New Roman" w:cs="Times New Roman"/>
          <w:sz w:val="24"/>
          <w:szCs w:val="24"/>
        </w:rPr>
        <w:t>В случае наличия котировок публичного долга контрагента, находящегося в дефолте,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долгового обязательства может считаться оценкой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для контрагента,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в этом случае будет равен 1 –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65E46D25" w14:textId="57461C8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 5.13. используется цена закрытия + НКД, по данным следующих источников:</w:t>
      </w:r>
    </w:p>
    <w:p w14:paraId="073C05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 котировка и НКД по данным Московской биржи;</w:t>
      </w:r>
    </w:p>
    <w:p w14:paraId="24AAD5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иных облигаций – цена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(цена </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xml:space="preserve"> при отсутствии цены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 НКД по данным ИС </w:t>
      </w:r>
      <w:r w:rsidRPr="00A12F11">
        <w:rPr>
          <w:rFonts w:ascii="Times New Roman" w:hAnsi="Times New Roman" w:cs="Times New Roman"/>
          <w:sz w:val="24"/>
          <w:szCs w:val="24"/>
          <w:lang w:val="en-US"/>
        </w:rPr>
        <w:t>Bloomberg</w:t>
      </w:r>
      <w:r w:rsidRPr="00A12F11">
        <w:rPr>
          <w:rFonts w:ascii="Times New Roman" w:hAnsi="Times New Roman" w:cs="Times New Roman"/>
          <w:sz w:val="24"/>
          <w:szCs w:val="24"/>
        </w:rPr>
        <w:t>.</w:t>
      </w:r>
    </w:p>
    <w:p w14:paraId="48CA10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целей настоящего раздела, значение </w:t>
      </w:r>
      <w:r w:rsidRPr="00A12F11">
        <w:rPr>
          <w:rFonts w:ascii="Times New Roman" w:hAnsi="Times New Roman" w:cs="Times New Roman"/>
          <w:sz w:val="24"/>
          <w:szCs w:val="24"/>
          <w:lang w:val="en-US"/>
        </w:rPr>
        <w:t>Recovery</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Rate</w:t>
      </w:r>
      <w:r w:rsidRPr="00A12F11">
        <w:rPr>
          <w:rFonts w:ascii="Times New Roman" w:hAnsi="Times New Roman" w:cs="Times New Roman"/>
          <w:sz w:val="24"/>
          <w:szCs w:val="24"/>
        </w:rPr>
        <w:t xml:space="preserve"> округляется до 2 знака после запятой в процентном выражении.</w:t>
      </w:r>
    </w:p>
    <w:p w14:paraId="0AF786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i/>
          <w:sz w:val="24"/>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1EC54A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6.  Расчет COR.</w:t>
      </w:r>
    </w:p>
    <w:p w14:paraId="1DE65540" w14:textId="77777777"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28614368" w14:textId="7BE945A7"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6.1.</w:t>
      </w:r>
      <w:r w:rsidR="007867A0" w:rsidRPr="00A12F11">
        <w:rPr>
          <w:rFonts w:ascii="Times New Roman" w:hAnsi="Times New Roman" w:cs="Times New Roman"/>
          <w:sz w:val="24"/>
          <w:szCs w:val="24"/>
        </w:rPr>
        <w:t xml:space="preserve"> Под необеспеченной задолженностью в целях настоящего Приложения понимается задолженность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14:paraId="3663A760" w14:textId="5471BBA1"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D7272E" w:rsidRPr="00A12F11">
        <w:rPr>
          <w:rFonts w:ascii="Times New Roman" w:hAnsi="Times New Roman" w:cs="Times New Roman"/>
          <w:sz w:val="24"/>
          <w:szCs w:val="24"/>
        </w:rPr>
        <w:t>6.2.</w:t>
      </w:r>
      <w:r w:rsidRPr="00A12F11">
        <w:rPr>
          <w:rFonts w:ascii="Times New Roman" w:hAnsi="Times New Roman" w:cs="Times New Roman"/>
          <w:sz w:val="24"/>
          <w:szCs w:val="24"/>
        </w:rPr>
        <w:t>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2818E95D" w14:textId="75F3250E"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6.3.</w:t>
      </w:r>
      <w:r w:rsidRPr="00A12F11">
        <w:rPr>
          <w:rFonts w:ascii="Times New Roman" w:hAnsi="Times New Roman" w:cs="Times New Roman"/>
          <w:sz w:val="24"/>
          <w:szCs w:val="24"/>
        </w:rPr>
        <w:t>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5EBD664E" w14:textId="3CB3DE2E"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7867A0"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6.4.</w:t>
      </w:r>
      <w:r w:rsidR="007867A0" w:rsidRPr="00A12F11">
        <w:rPr>
          <w:rFonts w:ascii="Times New Roman" w:hAnsi="Times New Roman" w:cs="Times New Roman"/>
          <w:sz w:val="24"/>
          <w:szCs w:val="24"/>
        </w:rPr>
        <w:t>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230AB027" w14:textId="5B4B8EDB" w:rsidR="007867A0" w:rsidRPr="00A12F11" w:rsidRDefault="004B4E2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6.5.</w:t>
      </w:r>
      <w:r w:rsidR="007867A0" w:rsidRPr="00A12F11">
        <w:rPr>
          <w:rFonts w:ascii="Times New Roman" w:hAnsi="Times New Roman" w:cs="Times New Roman"/>
          <w:b/>
          <w:sz w:val="24"/>
          <w:szCs w:val="24"/>
        </w:rPr>
        <w:t xml:space="preserve"> Оценка до возникновения фактической просрочки обязательств (стадия 1)</w:t>
      </w:r>
    </w:p>
    <w:p w14:paraId="6C149EA2" w14:textId="5260C130" w:rsidR="007867A0" w:rsidRPr="00A12F11" w:rsidRDefault="0050351C" w:rsidP="00A12F11">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
          <w:bCs/>
          <w:i/>
          <w:sz w:val="24"/>
          <w:szCs w:val="24"/>
        </w:rPr>
        <w:t>6.5.1.</w:t>
      </w:r>
      <w:r w:rsidR="007867A0" w:rsidRPr="00A12F11">
        <w:rPr>
          <w:rFonts w:ascii="Times New Roman" w:hAnsi="Times New Roman" w:cs="Times New Roman"/>
          <w:b/>
          <w:bCs/>
          <w:i/>
          <w:sz w:val="24"/>
          <w:szCs w:val="24"/>
        </w:rPr>
        <w:t>В отношении необеспеченных или частично обеспеченных обязательств</w:t>
      </w:r>
      <w:r w:rsidR="007867A0" w:rsidRPr="00A12F11">
        <w:rPr>
          <w:rFonts w:ascii="Times New Roman" w:hAnsi="Times New Roman" w:cs="Times New Roman"/>
          <w:bCs/>
          <w:sz w:val="24"/>
          <w:szCs w:val="24"/>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w:t>
      </w:r>
      <w:r w:rsidR="00712B6B" w:rsidRPr="00A12F11">
        <w:rPr>
          <w:rFonts w:ascii="Times New Roman" w:hAnsi="Times New Roman" w:cs="Times New Roman"/>
          <w:bCs/>
          <w:sz w:val="24"/>
          <w:szCs w:val="24"/>
        </w:rPr>
        <w:t>его</w:t>
      </w:r>
      <w:r w:rsidR="007867A0" w:rsidRPr="00A12F11">
        <w:rPr>
          <w:rFonts w:ascii="Times New Roman" w:hAnsi="Times New Roman" w:cs="Times New Roman"/>
          <w:bCs/>
          <w:sz w:val="24"/>
          <w:szCs w:val="24"/>
        </w:rPr>
        <w:t xml:space="preserve"> банк</w:t>
      </w:r>
      <w:r w:rsidR="00712B6B" w:rsidRPr="00A12F11">
        <w:rPr>
          <w:rFonts w:ascii="Times New Roman" w:hAnsi="Times New Roman" w:cs="Times New Roman"/>
          <w:bCs/>
          <w:sz w:val="24"/>
          <w:szCs w:val="24"/>
        </w:rPr>
        <w:t>а</w:t>
      </w:r>
      <w:r w:rsidR="007867A0" w:rsidRPr="00A12F11">
        <w:rPr>
          <w:rStyle w:val="aff7"/>
          <w:rFonts w:ascii="Times New Roman" w:hAnsi="Times New Roman" w:cs="Times New Roman"/>
          <w:bCs/>
          <w:sz w:val="24"/>
          <w:szCs w:val="24"/>
        </w:rPr>
        <w:footnoteReference w:id="23"/>
      </w:r>
      <w:r w:rsidR="007867A0" w:rsidRPr="00A12F11">
        <w:rPr>
          <w:rFonts w:ascii="Times New Roman" w:hAnsi="Times New Roman" w:cs="Times New Roman"/>
          <w:bCs/>
          <w:sz w:val="24"/>
          <w:szCs w:val="24"/>
        </w:rPr>
        <w:t>:</w:t>
      </w:r>
    </w:p>
    <w:p w14:paraId="6E169E37" w14:textId="0818FCD7" w:rsidR="007867A0" w:rsidRPr="00A12F11" w:rsidRDefault="00AF474B" w:rsidP="00A12F11">
      <w:pPr>
        <w:pStyle w:val="Default"/>
        <w:numPr>
          <w:ilvl w:val="0"/>
          <w:numId w:val="16"/>
        </w:numPr>
        <w:spacing w:before="240" w:after="160" w:line="276" w:lineRule="auto"/>
        <w:ind w:left="426" w:hanging="426"/>
        <w:jc w:val="both"/>
        <w:rPr>
          <w:bCs/>
          <w:color w:val="auto"/>
        </w:rPr>
      </w:pPr>
      <w:r w:rsidRPr="00A12F11">
        <w:rPr>
          <w:b/>
          <w:bCs/>
          <w:color w:val="auto"/>
        </w:rPr>
        <w:t>ПАО «СБЕРБАНК России</w:t>
      </w:r>
    </w:p>
    <w:tbl>
      <w:tblPr>
        <w:tblW w:w="9938" w:type="dxa"/>
        <w:tblInd w:w="93" w:type="dxa"/>
        <w:tblLook w:val="04A0" w:firstRow="1" w:lastRow="0" w:firstColumn="1" w:lastColumn="0" w:noHBand="0" w:noVBand="1"/>
      </w:tblPr>
      <w:tblGrid>
        <w:gridCol w:w="2260"/>
        <w:gridCol w:w="1960"/>
        <w:gridCol w:w="1880"/>
        <w:gridCol w:w="1482"/>
        <w:gridCol w:w="2350"/>
        <w:gridCol w:w="6"/>
      </w:tblGrid>
      <w:tr w:rsidR="007867A0" w:rsidRPr="00A12F11" w14:paraId="1C64BC76" w14:textId="77777777" w:rsidTr="00680C65">
        <w:trPr>
          <w:trHeight w:val="50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74C09D70" w14:textId="7638C8C2"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bCs/>
                <w:sz w:val="24"/>
                <w:szCs w:val="24"/>
              </w:rPr>
              <w:t>СБЕРБАНК России</w:t>
            </w:r>
          </w:p>
        </w:tc>
      </w:tr>
      <w:tr w:rsidR="007867A0" w:rsidRPr="00A12F11" w14:paraId="5EE05E3E" w14:textId="77777777" w:rsidTr="00680C65">
        <w:trPr>
          <w:gridAfter w:val="1"/>
          <w:wAfter w:w="6" w:type="dxa"/>
          <w:trHeight w:val="429"/>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F9ECE8F"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674007" w14:textId="36A0707E"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80" w:type="dxa"/>
            <w:tcBorders>
              <w:top w:val="single" w:sz="8" w:space="0" w:color="auto"/>
              <w:left w:val="nil"/>
              <w:bottom w:val="single" w:sz="4" w:space="0" w:color="auto"/>
              <w:right w:val="single" w:sz="4" w:space="0" w:color="auto"/>
            </w:tcBorders>
            <w:noWrap/>
            <w:vAlign w:val="bottom"/>
            <w:hideMark/>
          </w:tcPr>
          <w:p w14:paraId="161044F5" w14:textId="4559DDD2"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single" w:sz="8" w:space="0" w:color="auto"/>
              <w:left w:val="nil"/>
              <w:bottom w:val="single" w:sz="4" w:space="0" w:color="auto"/>
              <w:right w:val="single" w:sz="4" w:space="0" w:color="auto"/>
            </w:tcBorders>
            <w:noWrap/>
            <w:vAlign w:val="bottom"/>
            <w:hideMark/>
          </w:tcPr>
          <w:p w14:paraId="09321A83" w14:textId="6B7E9E30" w:rsidR="007867A0" w:rsidRPr="00FF508F" w:rsidRDefault="00FF508F" w:rsidP="00A12F11">
            <w:pPr>
              <w:spacing w:before="240" w:line="276" w:lineRule="auto"/>
              <w:ind w:left="426" w:hanging="426"/>
              <w:jc w:val="center"/>
              <w:rPr>
                <w:rFonts w:ascii="Times New Roman" w:eastAsia="Times New Roman" w:hAnsi="Times New Roman" w:cs="Times New Roman"/>
                <w:b/>
                <w:color w:val="000000"/>
                <w:sz w:val="20"/>
                <w:szCs w:val="20"/>
                <w:lang w:val="en-US" w:eastAsia="ru-RU"/>
              </w:rPr>
            </w:pPr>
            <w:r w:rsidRPr="00FF508F">
              <w:rPr>
                <w:rFonts w:ascii="Times New Roman" w:eastAsia="Times New Roman" w:hAnsi="Times New Roman" w:cs="Times New Roman"/>
                <w:b/>
                <w:color w:val="000000"/>
                <w:sz w:val="20"/>
                <w:szCs w:val="20"/>
                <w:lang w:eastAsia="ru-RU"/>
              </w:rPr>
              <w:t>% Резерва</w:t>
            </w:r>
          </w:p>
        </w:tc>
        <w:tc>
          <w:tcPr>
            <w:tcW w:w="2350" w:type="dxa"/>
            <w:tcBorders>
              <w:top w:val="single" w:sz="8" w:space="0" w:color="auto"/>
              <w:left w:val="nil"/>
              <w:bottom w:val="single" w:sz="4" w:space="0" w:color="auto"/>
              <w:right w:val="single" w:sz="8" w:space="0" w:color="auto"/>
            </w:tcBorders>
            <w:vAlign w:val="bottom"/>
            <w:hideMark/>
          </w:tcPr>
          <w:p w14:paraId="622FCD35"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76419CCA" w14:textId="77777777" w:rsidTr="00680C65">
        <w:trPr>
          <w:gridAfter w:val="1"/>
          <w:wAfter w:w="6"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608C514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02161790" w14:textId="6202DFB7" w:rsidR="007867A0" w:rsidRPr="00A12F11" w:rsidRDefault="00680C65" w:rsidP="00A12F11">
            <w:pPr>
              <w:spacing w:before="240" w:line="276" w:lineRule="auto"/>
              <w:ind w:left="426" w:hanging="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2 683,5</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2492A6D6" w14:textId="77330640" w:rsidR="007867A0" w:rsidRPr="00A12F11" w:rsidRDefault="00680C65" w:rsidP="00A12F11">
            <w:pPr>
              <w:spacing w:before="240" w:line="276" w:lineRule="auto"/>
              <w:ind w:left="426" w:hanging="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w:t>
            </w:r>
          </w:p>
        </w:tc>
        <w:tc>
          <w:tcPr>
            <w:tcW w:w="1482" w:type="dxa"/>
            <w:tcBorders>
              <w:top w:val="single" w:sz="4" w:space="0" w:color="auto"/>
              <w:left w:val="nil"/>
              <w:bottom w:val="single" w:sz="4" w:space="0" w:color="auto"/>
              <w:right w:val="single" w:sz="4" w:space="0" w:color="auto"/>
            </w:tcBorders>
            <w:noWrap/>
            <w:vAlign w:val="center"/>
            <w:hideMark/>
          </w:tcPr>
          <w:p w14:paraId="6C40A7C3" w14:textId="77777777" w:rsidR="007867A0" w:rsidRDefault="00680C65" w:rsidP="00680C65">
            <w:pPr>
              <w:spacing w:before="240" w:line="276" w:lineRule="auto"/>
              <w:ind w:left="426" w:hanging="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p w14:paraId="29172A13" w14:textId="199E62CA" w:rsidR="00680C65" w:rsidRPr="00A12F11" w:rsidRDefault="00680C65"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350" w:type="dxa"/>
            <w:tcBorders>
              <w:top w:val="single" w:sz="4" w:space="0" w:color="auto"/>
              <w:left w:val="nil"/>
              <w:bottom w:val="single" w:sz="4" w:space="0" w:color="auto"/>
              <w:right w:val="single" w:sz="8" w:space="0" w:color="auto"/>
            </w:tcBorders>
            <w:vAlign w:val="center"/>
            <w:hideMark/>
          </w:tcPr>
          <w:p w14:paraId="78B5EC92" w14:textId="5AEF255B" w:rsidR="007867A0" w:rsidRPr="00680C65"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w:t>
            </w:r>
            <w:r w:rsidR="003D51AC" w:rsidRPr="00A12F11">
              <w:rPr>
                <w:rFonts w:ascii="Times New Roman" w:eastAsia="Times New Roman" w:hAnsi="Times New Roman" w:cs="Times New Roman"/>
                <w:color w:val="000000"/>
                <w:sz w:val="24"/>
                <w:szCs w:val="24"/>
                <w:lang w:eastAsia="ru-RU"/>
              </w:rPr>
              <w:t xml:space="preserve">и прочие </w:t>
            </w:r>
            <w:r w:rsidRPr="00A12F11">
              <w:rPr>
                <w:rFonts w:ascii="Times New Roman" w:eastAsia="Times New Roman" w:hAnsi="Times New Roman" w:cs="Times New Roman"/>
                <w:color w:val="000000"/>
                <w:sz w:val="24"/>
                <w:szCs w:val="24"/>
                <w:lang w:eastAsia="ru-RU"/>
              </w:rPr>
              <w:t xml:space="preserve">ссуды </w:t>
            </w:r>
            <w:r w:rsidR="00680C65">
              <w:rPr>
                <w:rFonts w:ascii="Times New Roman" w:eastAsia="Times New Roman" w:hAnsi="Times New Roman" w:cs="Times New Roman"/>
                <w:color w:val="000000"/>
                <w:sz w:val="24"/>
                <w:szCs w:val="24"/>
                <w:lang w:eastAsia="ru-RU"/>
              </w:rPr>
              <w:t>физ. лицам</w:t>
            </w:r>
          </w:p>
        </w:tc>
      </w:tr>
    </w:tbl>
    <w:p w14:paraId="4A654DA9" w14:textId="77777777" w:rsidR="00680C65" w:rsidRDefault="00680C65" w:rsidP="00680C65">
      <w:pPr>
        <w:pStyle w:val="Default"/>
        <w:ind w:left="284"/>
        <w:rPr>
          <w:b/>
          <w:bCs/>
          <w:i/>
        </w:rPr>
      </w:pPr>
    </w:p>
    <w:p w14:paraId="0B0C7131" w14:textId="33C27D06" w:rsidR="00680C65" w:rsidRDefault="00680C65" w:rsidP="00680C65">
      <w:pPr>
        <w:pStyle w:val="Default"/>
        <w:ind w:left="284"/>
        <w:rPr>
          <w:b/>
          <w:bCs/>
          <w:i/>
        </w:rPr>
      </w:pPr>
      <w:bookmarkStart w:id="6" w:name="_Hlk77244034"/>
      <w:r w:rsidRPr="00680C65">
        <w:rPr>
          <w:b/>
          <w:bCs/>
          <w:i/>
        </w:rPr>
        <w:t>В качестве COR для непросрочен</w:t>
      </w:r>
      <w:r w:rsidR="000A48B6">
        <w:rPr>
          <w:b/>
          <w:bCs/>
          <w:i/>
        </w:rPr>
        <w:t>ных</w:t>
      </w:r>
      <w:r w:rsidRPr="00680C65">
        <w:rPr>
          <w:b/>
          <w:bCs/>
          <w:i/>
        </w:rPr>
        <w:t xml:space="preserve"> и </w:t>
      </w:r>
      <w:r w:rsidRPr="00A12F11">
        <w:rPr>
          <w:b/>
          <w:bCs/>
          <w:i/>
        </w:rPr>
        <w:t xml:space="preserve">необеспеченных или частично обеспеченных </w:t>
      </w:r>
      <w:r w:rsidR="000A48B6">
        <w:rPr>
          <w:b/>
          <w:bCs/>
          <w:i/>
        </w:rPr>
        <w:t xml:space="preserve">обязательств </w:t>
      </w:r>
      <w:r w:rsidRPr="00680C65">
        <w:rPr>
          <w:b/>
          <w:bCs/>
          <w:i/>
        </w:rPr>
        <w:t>применяется ставка, рассчитанная исходя из процента резервирования банком ПАО «СБЕРБАНК России»:</w:t>
      </w:r>
    </w:p>
    <w:p w14:paraId="474310BE" w14:textId="77777777" w:rsidR="000A48B6" w:rsidRPr="00680C65" w:rsidRDefault="000A48B6" w:rsidP="00680C65">
      <w:pPr>
        <w:pStyle w:val="Default"/>
        <w:ind w:left="284"/>
        <w:rPr>
          <w:b/>
          <w:bCs/>
          <w:i/>
        </w:rPr>
      </w:pPr>
    </w:p>
    <w:tbl>
      <w:tblPr>
        <w:tblW w:w="4220" w:type="dxa"/>
        <w:jc w:val="center"/>
        <w:tblLook w:val="04A0" w:firstRow="1" w:lastRow="0" w:firstColumn="1" w:lastColumn="0" w:noHBand="0" w:noVBand="1"/>
      </w:tblPr>
      <w:tblGrid>
        <w:gridCol w:w="2809"/>
        <w:gridCol w:w="1411"/>
      </w:tblGrid>
      <w:tr w:rsidR="00FF508F" w:rsidRPr="00FF508F" w14:paraId="390EA26C" w14:textId="77777777" w:rsidTr="00FF508F">
        <w:trPr>
          <w:trHeight w:val="448"/>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bookmarkEnd w:id="6"/>
          <w:p w14:paraId="3ACFE5C3"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4AE2D59"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COR, %</w:t>
            </w:r>
          </w:p>
        </w:tc>
      </w:tr>
      <w:tr w:rsidR="00FF508F" w:rsidRPr="00FF508F" w14:paraId="4559DDCB" w14:textId="77777777" w:rsidTr="00FF508F">
        <w:trPr>
          <w:trHeight w:val="573"/>
          <w:jc w:val="center"/>
        </w:trPr>
        <w:tc>
          <w:tcPr>
            <w:tcW w:w="2809" w:type="dxa"/>
            <w:tcBorders>
              <w:top w:val="nil"/>
              <w:left w:val="single" w:sz="8" w:space="0" w:color="auto"/>
              <w:bottom w:val="single" w:sz="8" w:space="0" w:color="auto"/>
              <w:right w:val="single" w:sz="4" w:space="0" w:color="auto"/>
            </w:tcBorders>
            <w:noWrap/>
            <w:vAlign w:val="bottom"/>
            <w:hideMark/>
          </w:tcPr>
          <w:p w14:paraId="0179E314" w14:textId="77777777" w:rsidR="00FF508F" w:rsidRPr="00FF508F" w:rsidRDefault="00FF508F" w:rsidP="0093139E">
            <w:pPr>
              <w:spacing w:before="240" w:line="276" w:lineRule="auto"/>
              <w:ind w:left="426" w:hanging="426"/>
              <w:jc w:val="both"/>
              <w:rPr>
                <w:rFonts w:ascii="Times New Roman" w:eastAsia="Times New Roman" w:hAnsi="Times New Roman" w:cs="Times New Roman"/>
                <w:bCs/>
                <w:color w:val="000000"/>
                <w:sz w:val="24"/>
                <w:szCs w:val="24"/>
                <w:lang w:eastAsia="ru-RU"/>
              </w:rPr>
            </w:pPr>
            <w:r w:rsidRPr="00FF508F">
              <w:rPr>
                <w:rFonts w:ascii="Times New Roman" w:eastAsia="Times New Roman" w:hAnsi="Times New Roman" w:cs="Times New Roman"/>
                <w:bCs/>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3C092193" w14:textId="158E991B"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93139E">
              <w:rPr>
                <w:rFonts w:ascii="Times New Roman" w:eastAsia="Times New Roman" w:hAnsi="Times New Roman" w:cs="Times New Roman"/>
                <w:b/>
                <w:color w:val="000000"/>
                <w:sz w:val="24"/>
                <w:szCs w:val="24"/>
                <w:lang w:eastAsia="ru-RU"/>
              </w:rPr>
              <w:t>1,73</w:t>
            </w:r>
          </w:p>
        </w:tc>
      </w:tr>
    </w:tbl>
    <w:p w14:paraId="6825BB0F" w14:textId="37B00AC2" w:rsidR="007867A0" w:rsidRPr="00A12F11" w:rsidRDefault="0050351C" w:rsidP="00A12F11">
      <w:pPr>
        <w:pStyle w:val="Default"/>
        <w:spacing w:before="240" w:after="160" w:line="276" w:lineRule="auto"/>
        <w:ind w:left="284"/>
        <w:jc w:val="both"/>
        <w:rPr>
          <w:bCs/>
          <w:color w:val="auto"/>
        </w:rPr>
      </w:pPr>
      <w:r w:rsidRPr="00A12F11">
        <w:rPr>
          <w:b/>
          <w:bCs/>
          <w:i/>
          <w:color w:val="auto"/>
        </w:rPr>
        <w:t>6.5.2.</w:t>
      </w:r>
      <w:r w:rsidR="007867A0" w:rsidRPr="00A12F11">
        <w:rPr>
          <w:b/>
          <w:bCs/>
          <w:i/>
          <w:color w:val="auto"/>
        </w:rPr>
        <w:t>В отношении обязательств, обеспеченных залогом жилой недвижимости</w:t>
      </w:r>
      <w:r w:rsidR="007867A0" w:rsidRPr="00A12F11">
        <w:rPr>
          <w:bCs/>
          <w:color w:val="auto"/>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«жилищное кредитование физических лиц» по отчетности МСФО </w:t>
      </w:r>
      <w:bookmarkStart w:id="7" w:name="_Hlk63966848"/>
      <w:r w:rsidR="00AF474B" w:rsidRPr="00A12F11">
        <w:rPr>
          <w:b/>
          <w:color w:val="auto"/>
        </w:rPr>
        <w:t>ПАО «СБЕРБАНК России»</w:t>
      </w:r>
      <w:r w:rsidR="00AF474B" w:rsidRPr="00A12F11">
        <w:rPr>
          <w:rStyle w:val="aff7"/>
        </w:rPr>
        <w:t xml:space="preserve"> </w:t>
      </w:r>
      <w:r w:rsidR="007867A0" w:rsidRPr="00A12F11">
        <w:rPr>
          <w:rStyle w:val="aff7"/>
        </w:rPr>
        <w:footnoteReference w:id="24"/>
      </w:r>
      <w:r w:rsidR="007867A0" w:rsidRPr="00A12F11">
        <w:rPr>
          <w:bCs/>
          <w:color w:val="auto"/>
        </w:rPr>
        <w:t xml:space="preserve">: </w:t>
      </w:r>
    </w:p>
    <w:tbl>
      <w:tblPr>
        <w:tblW w:w="10145" w:type="dxa"/>
        <w:tblInd w:w="93" w:type="dxa"/>
        <w:tblLook w:val="04A0" w:firstRow="1" w:lastRow="0" w:firstColumn="1" w:lastColumn="0" w:noHBand="0" w:noVBand="1"/>
      </w:tblPr>
      <w:tblGrid>
        <w:gridCol w:w="2283"/>
        <w:gridCol w:w="1985"/>
        <w:gridCol w:w="1843"/>
        <w:gridCol w:w="1482"/>
        <w:gridCol w:w="2552"/>
      </w:tblGrid>
      <w:tr w:rsidR="007867A0" w:rsidRPr="00A12F11" w14:paraId="7F0CB7F1" w14:textId="77777777" w:rsidTr="00FF508F">
        <w:trPr>
          <w:trHeight w:val="255"/>
        </w:trPr>
        <w:tc>
          <w:tcPr>
            <w:tcW w:w="10145" w:type="dxa"/>
            <w:gridSpan w:val="5"/>
            <w:tcBorders>
              <w:top w:val="single" w:sz="8" w:space="0" w:color="auto"/>
              <w:left w:val="single" w:sz="8" w:space="0" w:color="auto"/>
              <w:bottom w:val="single" w:sz="8" w:space="0" w:color="auto"/>
              <w:right w:val="single" w:sz="8" w:space="0" w:color="000000"/>
            </w:tcBorders>
            <w:noWrap/>
            <w:vAlign w:val="bottom"/>
            <w:hideMark/>
          </w:tcPr>
          <w:bookmarkEnd w:id="7"/>
          <w:p w14:paraId="537D0A9B" w14:textId="6FBC024D"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sz w:val="24"/>
                <w:szCs w:val="24"/>
              </w:rPr>
              <w:t>ПАО «СБЕРБАНК России»</w:t>
            </w:r>
          </w:p>
        </w:tc>
      </w:tr>
      <w:tr w:rsidR="007867A0" w:rsidRPr="00A12F11" w14:paraId="4591180E" w14:textId="77777777" w:rsidTr="00FF508F">
        <w:trPr>
          <w:trHeight w:val="480"/>
        </w:trPr>
        <w:tc>
          <w:tcPr>
            <w:tcW w:w="2283" w:type="dxa"/>
            <w:tcBorders>
              <w:top w:val="nil"/>
              <w:left w:val="single" w:sz="8" w:space="0" w:color="auto"/>
              <w:bottom w:val="single" w:sz="4" w:space="0" w:color="auto"/>
              <w:right w:val="single" w:sz="4" w:space="0" w:color="auto"/>
            </w:tcBorders>
            <w:noWrap/>
            <w:vAlign w:val="bottom"/>
            <w:hideMark/>
          </w:tcPr>
          <w:p w14:paraId="25F99E60"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85" w:type="dxa"/>
            <w:tcBorders>
              <w:top w:val="nil"/>
              <w:left w:val="nil"/>
              <w:bottom w:val="single" w:sz="4" w:space="0" w:color="auto"/>
              <w:right w:val="single" w:sz="4" w:space="0" w:color="auto"/>
            </w:tcBorders>
            <w:vAlign w:val="bottom"/>
            <w:hideMark/>
          </w:tcPr>
          <w:p w14:paraId="743D8C3C" w14:textId="40852694"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165204"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43" w:type="dxa"/>
            <w:tcBorders>
              <w:top w:val="nil"/>
              <w:left w:val="nil"/>
              <w:bottom w:val="single" w:sz="4" w:space="0" w:color="auto"/>
              <w:right w:val="single" w:sz="4" w:space="0" w:color="auto"/>
            </w:tcBorders>
            <w:noWrap/>
            <w:vAlign w:val="bottom"/>
            <w:hideMark/>
          </w:tcPr>
          <w:p w14:paraId="7839BEF2" w14:textId="742FE31F"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AF474B"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nil"/>
              <w:left w:val="nil"/>
              <w:bottom w:val="single" w:sz="4" w:space="0" w:color="auto"/>
              <w:right w:val="single" w:sz="4" w:space="0" w:color="auto"/>
            </w:tcBorders>
            <w:noWrap/>
            <w:vAlign w:val="bottom"/>
            <w:hideMark/>
          </w:tcPr>
          <w:p w14:paraId="5A5F5282"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Резерва</w:t>
            </w:r>
          </w:p>
        </w:tc>
        <w:tc>
          <w:tcPr>
            <w:tcW w:w="2552" w:type="dxa"/>
            <w:tcBorders>
              <w:top w:val="nil"/>
              <w:left w:val="nil"/>
              <w:bottom w:val="single" w:sz="4" w:space="0" w:color="auto"/>
              <w:right w:val="single" w:sz="8" w:space="0" w:color="auto"/>
            </w:tcBorders>
            <w:noWrap/>
            <w:vAlign w:val="bottom"/>
            <w:hideMark/>
          </w:tcPr>
          <w:p w14:paraId="15ED242A"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04A3E7A6" w14:textId="77777777" w:rsidTr="00FF508F">
        <w:trPr>
          <w:trHeight w:val="300"/>
        </w:trPr>
        <w:tc>
          <w:tcPr>
            <w:tcW w:w="2283" w:type="dxa"/>
            <w:tcBorders>
              <w:top w:val="nil"/>
              <w:left w:val="single" w:sz="8" w:space="0" w:color="auto"/>
              <w:bottom w:val="single" w:sz="4" w:space="0" w:color="auto"/>
              <w:right w:val="single" w:sz="4" w:space="0" w:color="auto"/>
            </w:tcBorders>
            <w:noWrap/>
            <w:vAlign w:val="center"/>
            <w:hideMark/>
          </w:tcPr>
          <w:p w14:paraId="6A549EC9"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4B5C6CB8" w14:textId="68DD8BC0" w:rsidR="007867A0" w:rsidRPr="00680C65" w:rsidRDefault="00680C65" w:rsidP="00680C65">
            <w:pPr>
              <w:spacing w:before="240" w:line="276" w:lineRule="auto"/>
              <w:ind w:left="426" w:hanging="426"/>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4 832</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6</w:t>
            </w:r>
          </w:p>
        </w:tc>
        <w:tc>
          <w:tcPr>
            <w:tcW w:w="1843" w:type="dxa"/>
            <w:tcBorders>
              <w:top w:val="nil"/>
              <w:left w:val="nil"/>
              <w:bottom w:val="single" w:sz="4" w:space="0" w:color="auto"/>
              <w:right w:val="single" w:sz="4" w:space="0" w:color="auto"/>
            </w:tcBorders>
            <w:shd w:val="clear" w:color="auto" w:fill="92D050"/>
            <w:noWrap/>
            <w:vAlign w:val="center"/>
            <w:hideMark/>
          </w:tcPr>
          <w:p w14:paraId="33C3B7AB" w14:textId="708D0BD1" w:rsidR="007867A0" w:rsidRPr="00680C65" w:rsidRDefault="00680C65" w:rsidP="00680C65">
            <w:pPr>
              <w:spacing w:before="240" w:line="276" w:lineRule="auto"/>
              <w:ind w:left="426" w:hanging="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,6</w:t>
            </w:r>
          </w:p>
        </w:tc>
        <w:tc>
          <w:tcPr>
            <w:tcW w:w="1482" w:type="dxa"/>
            <w:tcBorders>
              <w:top w:val="nil"/>
              <w:left w:val="nil"/>
              <w:bottom w:val="single" w:sz="4" w:space="0" w:color="auto"/>
              <w:right w:val="single" w:sz="4" w:space="0" w:color="auto"/>
            </w:tcBorders>
            <w:noWrap/>
            <w:vAlign w:val="center"/>
            <w:hideMark/>
          </w:tcPr>
          <w:p w14:paraId="7669F961" w14:textId="0A6C2F44" w:rsidR="007867A0" w:rsidRPr="00A12F11" w:rsidRDefault="00AF474B" w:rsidP="00680C65">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0,</w:t>
            </w:r>
            <w:r w:rsidR="00680C65">
              <w:rPr>
                <w:rFonts w:ascii="Times New Roman" w:eastAsia="Times New Roman" w:hAnsi="Times New Roman" w:cs="Times New Roman"/>
                <w:color w:val="000000"/>
                <w:sz w:val="24"/>
                <w:szCs w:val="24"/>
                <w:lang w:eastAsia="ru-RU"/>
              </w:rPr>
              <w:t>20</w:t>
            </w:r>
          </w:p>
        </w:tc>
        <w:tc>
          <w:tcPr>
            <w:tcW w:w="2552" w:type="dxa"/>
            <w:tcBorders>
              <w:top w:val="nil"/>
              <w:left w:val="single" w:sz="4" w:space="0" w:color="auto"/>
              <w:bottom w:val="single" w:sz="8" w:space="0" w:color="000000"/>
              <w:right w:val="single" w:sz="8" w:space="0" w:color="auto"/>
            </w:tcBorders>
            <w:vAlign w:val="center"/>
            <w:hideMark/>
          </w:tcPr>
          <w:p w14:paraId="5A90EB68" w14:textId="43EADEDA" w:rsidR="007867A0" w:rsidRPr="00A12F11" w:rsidRDefault="00712B6B" w:rsidP="0093139E">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w:t>
            </w:r>
            <w:r w:rsidR="0093139E">
              <w:rPr>
                <w:rFonts w:ascii="Times New Roman" w:eastAsia="Times New Roman" w:hAnsi="Times New Roman" w:cs="Times New Roman"/>
                <w:color w:val="000000"/>
                <w:sz w:val="24"/>
                <w:szCs w:val="24"/>
                <w:lang w:eastAsia="ru-RU"/>
              </w:rPr>
              <w:t xml:space="preserve"> </w:t>
            </w:r>
            <w:r w:rsidR="007867A0" w:rsidRPr="00A12F11">
              <w:rPr>
                <w:rFonts w:ascii="Times New Roman" w:eastAsia="Times New Roman" w:hAnsi="Times New Roman" w:cs="Times New Roman"/>
                <w:color w:val="000000"/>
                <w:sz w:val="24"/>
                <w:szCs w:val="24"/>
                <w:lang w:eastAsia="ru-RU"/>
              </w:rPr>
              <w:t>кредитование физических лиц</w:t>
            </w:r>
          </w:p>
        </w:tc>
      </w:tr>
    </w:tbl>
    <w:p w14:paraId="1EFA903E" w14:textId="77777777" w:rsidR="007867A0" w:rsidRPr="00A12F11" w:rsidRDefault="007867A0" w:rsidP="00A12F11">
      <w:pPr>
        <w:pStyle w:val="Default"/>
        <w:spacing w:before="240" w:after="160" w:line="276" w:lineRule="auto"/>
        <w:ind w:left="426" w:hanging="426"/>
        <w:jc w:val="both"/>
      </w:pPr>
    </w:p>
    <w:p w14:paraId="0D7C5233" w14:textId="4A0DF3DC" w:rsidR="007867A0" w:rsidRPr="00A12F11" w:rsidRDefault="007867A0" w:rsidP="00A12F11">
      <w:pPr>
        <w:pStyle w:val="Default"/>
        <w:spacing w:before="240" w:after="160" w:line="276" w:lineRule="auto"/>
        <w:ind w:left="426" w:hanging="426"/>
        <w:jc w:val="both"/>
        <w:rPr>
          <w:b/>
        </w:rPr>
      </w:pPr>
      <w:bookmarkStart w:id="8" w:name="_Hlk77243353"/>
      <w:r w:rsidRPr="00A12F11">
        <w:rPr>
          <w:b/>
        </w:rPr>
        <w:t>В качестве COR для непросрочен</w:t>
      </w:r>
      <w:r w:rsidR="000A48B6">
        <w:rPr>
          <w:b/>
        </w:rPr>
        <w:t>ных</w:t>
      </w:r>
      <w:r w:rsidRPr="00A12F11">
        <w:rPr>
          <w:b/>
        </w:rPr>
        <w:t xml:space="preserve"> и обеспеченн</w:t>
      </w:r>
      <w:r w:rsidR="000A48B6">
        <w:rPr>
          <w:b/>
        </w:rPr>
        <w:t>ых</w:t>
      </w:r>
      <w:r w:rsidRPr="00A12F11">
        <w:rPr>
          <w:b/>
        </w:rPr>
        <w:t xml:space="preserve"> </w:t>
      </w:r>
      <w:r w:rsidR="000A48B6">
        <w:rPr>
          <w:b/>
        </w:rPr>
        <w:t>обязательств</w:t>
      </w:r>
      <w:r w:rsidRPr="00A12F11">
        <w:rPr>
          <w:b/>
        </w:rPr>
        <w:t xml:space="preserve"> применяется ставка, рассчитанная исходя из процента резервирования банком </w:t>
      </w:r>
      <w:r w:rsidR="00AF474B" w:rsidRPr="00A12F11">
        <w:rPr>
          <w:b/>
        </w:rPr>
        <w:t>ПАО «СБЕРБАНК России</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5963F93B" w14:textId="77777777" w:rsidTr="00FF508F">
        <w:trPr>
          <w:trHeight w:val="572"/>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036AF4C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bookmarkStart w:id="9" w:name="_Hlk77243415"/>
            <w:bookmarkEnd w:id="8"/>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393C4D08" w14:textId="77777777" w:rsidR="007867A0" w:rsidRPr="00A12F11"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3433E9E"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B5D37A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722CFF18" w14:textId="3B178465" w:rsidR="007867A0" w:rsidRPr="00A12F11" w:rsidRDefault="00AF474B" w:rsidP="00A12F11">
            <w:pPr>
              <w:spacing w:before="240" w:line="276" w:lineRule="auto"/>
              <w:ind w:left="426" w:hanging="426"/>
              <w:jc w:val="center"/>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0,</w:t>
            </w:r>
            <w:r w:rsidR="00FF508F">
              <w:rPr>
                <w:rFonts w:ascii="Times New Roman" w:eastAsia="Times New Roman" w:hAnsi="Times New Roman" w:cs="Times New Roman"/>
                <w:b/>
                <w:color w:val="000000"/>
                <w:sz w:val="24"/>
                <w:szCs w:val="24"/>
                <w:lang w:eastAsia="ru-RU"/>
              </w:rPr>
              <w:t>20</w:t>
            </w:r>
          </w:p>
        </w:tc>
      </w:tr>
    </w:tbl>
    <w:bookmarkEnd w:id="9"/>
    <w:p w14:paraId="1BD9991C" w14:textId="34C701C6" w:rsidR="007867A0" w:rsidRPr="00A12F11" w:rsidRDefault="0050351C" w:rsidP="00A12F11">
      <w:pPr>
        <w:pStyle w:val="a0"/>
        <w:numPr>
          <w:ilvl w:val="0"/>
          <w:numId w:val="0"/>
        </w:numPr>
        <w:spacing w:before="240" w:after="160" w:line="276" w:lineRule="auto"/>
        <w:ind w:left="142"/>
        <w:jc w:val="both"/>
        <w:rPr>
          <w:szCs w:val="24"/>
        </w:rPr>
      </w:pPr>
      <w:r w:rsidRPr="00A12F11">
        <w:rPr>
          <w:szCs w:val="24"/>
        </w:rPr>
        <w:t>6.6.</w:t>
      </w:r>
      <w:r w:rsidR="007867A0" w:rsidRPr="00A12F11">
        <w:rPr>
          <w:szCs w:val="24"/>
        </w:rPr>
        <w:t xml:space="preserve"> Оценка при возникновении фактической просрочки обязательств (стадия 2)</w:t>
      </w:r>
    </w:p>
    <w:p w14:paraId="05D37867" w14:textId="77777777" w:rsidR="007867A0" w:rsidRPr="00A12F11" w:rsidRDefault="007867A0" w:rsidP="00A12F11">
      <w:pPr>
        <w:pStyle w:val="Default"/>
        <w:spacing w:before="240" w:after="160" w:line="276" w:lineRule="auto"/>
        <w:ind w:left="426" w:hanging="426"/>
        <w:jc w:val="both"/>
        <w:rPr>
          <w:bCs/>
          <w:color w:val="auto"/>
        </w:rPr>
      </w:pPr>
      <w:r w:rsidRPr="00A12F11">
        <w:rPr>
          <w:bCs/>
          <w:color w:val="auto"/>
        </w:rPr>
        <w:t xml:space="preserve"> 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7D1C6B9" w14:textId="072A3C7F" w:rsidR="0065798E" w:rsidRPr="00A12F11" w:rsidRDefault="0050351C" w:rsidP="00A12F11">
      <w:pPr>
        <w:pStyle w:val="Default"/>
        <w:spacing w:before="240" w:after="160" w:line="276" w:lineRule="auto"/>
        <w:jc w:val="both"/>
      </w:pPr>
      <w:r w:rsidRPr="00A12F11">
        <w:rPr>
          <w:bCs/>
          <w:color w:val="auto"/>
        </w:rPr>
        <w:t>6.6.1.</w:t>
      </w:r>
      <w:r w:rsidR="007867A0" w:rsidRPr="00A12F11">
        <w:rPr>
          <w:bCs/>
          <w:color w:val="auto"/>
        </w:rPr>
        <w:t xml:space="preserve">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w:t>
      </w:r>
      <w:r w:rsidR="00AF474B" w:rsidRPr="00A12F11">
        <w:rPr>
          <w:b/>
          <w:color w:val="auto"/>
        </w:rPr>
        <w:t>ПАО «СБЕРБАНК России»</w:t>
      </w:r>
      <w:r w:rsidR="007867A0" w:rsidRPr="00A12F11">
        <w:rPr>
          <w:bCs/>
          <w:color w:val="auto"/>
        </w:rPr>
        <w:t>:</w:t>
      </w:r>
      <w:r w:rsidR="00AF474B" w:rsidRPr="00A12F11">
        <w:rPr>
          <w:bCs/>
          <w:color w:val="auto"/>
        </w:rPr>
        <w:t xml:space="preserve"> </w:t>
      </w:r>
    </w:p>
    <w:tbl>
      <w:tblPr>
        <w:tblW w:w="9920" w:type="dxa"/>
        <w:tblInd w:w="93" w:type="dxa"/>
        <w:tblLook w:val="04A0" w:firstRow="1" w:lastRow="0" w:firstColumn="1" w:lastColumn="0" w:noHBand="0" w:noVBand="1"/>
      </w:tblPr>
      <w:tblGrid>
        <w:gridCol w:w="2260"/>
        <w:gridCol w:w="1960"/>
        <w:gridCol w:w="1880"/>
        <w:gridCol w:w="1482"/>
        <w:gridCol w:w="2338"/>
      </w:tblGrid>
      <w:tr w:rsidR="007867A0" w:rsidRPr="00A12F11" w14:paraId="73C2CE07" w14:textId="77777777" w:rsidTr="00122100">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39AF024E"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09F84E3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15DD72B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482" w:type="dxa"/>
            <w:tcBorders>
              <w:top w:val="single" w:sz="8" w:space="0" w:color="auto"/>
              <w:left w:val="nil"/>
              <w:bottom w:val="single" w:sz="4" w:space="0" w:color="auto"/>
              <w:right w:val="single" w:sz="4" w:space="0" w:color="auto"/>
            </w:tcBorders>
            <w:noWrap/>
            <w:vAlign w:val="bottom"/>
            <w:hideMark/>
          </w:tcPr>
          <w:p w14:paraId="6B85BA8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338" w:type="dxa"/>
            <w:tcBorders>
              <w:top w:val="single" w:sz="8" w:space="0" w:color="auto"/>
              <w:left w:val="nil"/>
              <w:bottom w:val="single" w:sz="4" w:space="0" w:color="auto"/>
              <w:right w:val="single" w:sz="8" w:space="0" w:color="auto"/>
            </w:tcBorders>
            <w:vAlign w:val="bottom"/>
            <w:hideMark/>
          </w:tcPr>
          <w:p w14:paraId="0452B3A7"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FF508F" w:rsidRPr="00A12F11" w14:paraId="26BE9219" w14:textId="77777777" w:rsidTr="00122100">
        <w:trPr>
          <w:trHeight w:val="495"/>
        </w:trPr>
        <w:tc>
          <w:tcPr>
            <w:tcW w:w="2260" w:type="dxa"/>
            <w:tcBorders>
              <w:top w:val="single" w:sz="4" w:space="0" w:color="auto"/>
              <w:left w:val="single" w:sz="4" w:space="0" w:color="auto"/>
              <w:bottom w:val="single" w:sz="4" w:space="0" w:color="auto"/>
              <w:right w:val="single" w:sz="4" w:space="0" w:color="auto"/>
            </w:tcBorders>
            <w:vAlign w:val="center"/>
            <w:hideMark/>
          </w:tcPr>
          <w:p w14:paraId="1366E3DF" w14:textId="77777777"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6D40A944" w14:textId="15E7F036"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136,6</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64AA8BF0" w14:textId="6AB778D7"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w:t>
            </w:r>
          </w:p>
        </w:tc>
        <w:tc>
          <w:tcPr>
            <w:tcW w:w="1482" w:type="dxa"/>
            <w:tcBorders>
              <w:top w:val="single" w:sz="4" w:space="0" w:color="auto"/>
              <w:left w:val="nil"/>
              <w:bottom w:val="single" w:sz="4" w:space="0" w:color="auto"/>
              <w:right w:val="single" w:sz="4" w:space="0" w:color="auto"/>
            </w:tcBorders>
            <w:noWrap/>
            <w:vAlign w:val="center"/>
            <w:hideMark/>
          </w:tcPr>
          <w:p w14:paraId="7DC7684D" w14:textId="607E865B" w:rsidR="00FF508F" w:rsidRPr="00A12F11" w:rsidRDefault="00FF508F" w:rsidP="00FF508F">
            <w:pPr>
              <w:spacing w:before="240" w:line="276" w:lineRule="auto"/>
              <w:ind w:left="426" w:hanging="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18,64</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5F94450" w14:textId="46E1140D"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и прочие ссуды </w:t>
            </w:r>
            <w:r>
              <w:rPr>
                <w:rFonts w:ascii="Times New Roman" w:eastAsia="Times New Roman" w:hAnsi="Times New Roman" w:cs="Times New Roman"/>
                <w:color w:val="000000"/>
                <w:sz w:val="24"/>
                <w:szCs w:val="24"/>
                <w:lang w:eastAsia="ru-RU"/>
              </w:rPr>
              <w:t>физ. лицам</w:t>
            </w:r>
          </w:p>
        </w:tc>
      </w:tr>
    </w:tbl>
    <w:p w14:paraId="0C88387F" w14:textId="2C757E2E" w:rsidR="007867A0" w:rsidRDefault="00FF508F" w:rsidP="000A48B6">
      <w:pPr>
        <w:pStyle w:val="Default"/>
        <w:ind w:left="284"/>
        <w:rPr>
          <w:b/>
        </w:rPr>
      </w:pPr>
      <w:r>
        <w:rPr>
          <w:b/>
        </w:rPr>
        <w:t>В</w:t>
      </w:r>
      <w:r w:rsidR="007867A0" w:rsidRPr="00A12F11">
        <w:rPr>
          <w:b/>
        </w:rPr>
        <w:t xml:space="preserve"> качестве COR для просроченн</w:t>
      </w:r>
      <w:r w:rsidR="000A48B6">
        <w:rPr>
          <w:b/>
        </w:rPr>
        <w:t>ых</w:t>
      </w:r>
      <w:r w:rsidR="007867A0" w:rsidRPr="00A12F11">
        <w:rPr>
          <w:b/>
        </w:rPr>
        <w:t xml:space="preserve"> </w:t>
      </w:r>
      <w:r w:rsidR="000A48B6" w:rsidRPr="00680C65">
        <w:rPr>
          <w:b/>
        </w:rPr>
        <w:t xml:space="preserve">и </w:t>
      </w:r>
      <w:r w:rsidR="000A48B6" w:rsidRPr="000A48B6">
        <w:rPr>
          <w:b/>
        </w:rPr>
        <w:t xml:space="preserve">необеспеченных или частично обеспеченных </w:t>
      </w:r>
      <w:r w:rsidR="000A48B6">
        <w:rPr>
          <w:b/>
        </w:rPr>
        <w:t xml:space="preserve">обязательств </w:t>
      </w:r>
      <w:r w:rsidR="007867A0" w:rsidRPr="00A12F11">
        <w:rPr>
          <w:b/>
        </w:rPr>
        <w:t xml:space="preserve">физических лиц и ИП применяется средняя ставка, рассчитанная исходя из процента резервирования </w:t>
      </w:r>
      <w:r w:rsidR="000A48B6" w:rsidRPr="00680C65">
        <w:rPr>
          <w:b/>
        </w:rPr>
        <w:t>банком ПАО «СБЕРБАНК России»:</w:t>
      </w:r>
    </w:p>
    <w:p w14:paraId="32766681" w14:textId="77777777" w:rsidR="00554F08" w:rsidRPr="00A12F11" w:rsidRDefault="00554F08" w:rsidP="000A48B6">
      <w:pPr>
        <w:pStyle w:val="Default"/>
        <w:ind w:left="284"/>
        <w:rPr>
          <w:b/>
        </w:rPr>
      </w:pPr>
    </w:p>
    <w:tbl>
      <w:tblPr>
        <w:tblW w:w="4220" w:type="dxa"/>
        <w:jc w:val="center"/>
        <w:tblLook w:val="04A0" w:firstRow="1" w:lastRow="0" w:firstColumn="1" w:lastColumn="0" w:noHBand="0" w:noVBand="1"/>
      </w:tblPr>
      <w:tblGrid>
        <w:gridCol w:w="2809"/>
        <w:gridCol w:w="1411"/>
      </w:tblGrid>
      <w:tr w:rsidR="007867A0" w:rsidRPr="00A12F11" w14:paraId="3CD817F9" w14:textId="77777777" w:rsidTr="00554F08">
        <w:trPr>
          <w:trHeight w:val="240"/>
          <w:jc w:val="center"/>
        </w:trPr>
        <w:tc>
          <w:tcPr>
            <w:tcW w:w="2809" w:type="dxa"/>
            <w:tcBorders>
              <w:top w:val="single" w:sz="4" w:space="0" w:color="auto"/>
              <w:left w:val="single" w:sz="4" w:space="0" w:color="auto"/>
              <w:bottom w:val="single" w:sz="4" w:space="0" w:color="auto"/>
              <w:right w:val="single" w:sz="4" w:space="0" w:color="auto"/>
            </w:tcBorders>
            <w:noWrap/>
            <w:vAlign w:val="bottom"/>
            <w:hideMark/>
          </w:tcPr>
          <w:p w14:paraId="542A7FF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4" w:space="0" w:color="auto"/>
            </w:tcBorders>
            <w:noWrap/>
            <w:vAlign w:val="bottom"/>
            <w:hideMark/>
          </w:tcPr>
          <w:p w14:paraId="7D7CEE8A"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1A08439B"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491C7E6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52A122D" w14:textId="0BAC2758" w:rsidR="007867A0" w:rsidRPr="00A12F11" w:rsidRDefault="000A48B6"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18,64</w:t>
            </w:r>
            <w:r w:rsidR="007867A0" w:rsidRPr="00A12F11">
              <w:rPr>
                <w:rFonts w:ascii="Times New Roman" w:eastAsia="Times New Roman" w:hAnsi="Times New Roman" w:cs="Times New Roman"/>
                <w:b/>
                <w:color w:val="000000"/>
                <w:sz w:val="24"/>
                <w:szCs w:val="24"/>
                <w:lang w:eastAsia="ru-RU"/>
              </w:rPr>
              <w:t>%</w:t>
            </w:r>
          </w:p>
        </w:tc>
      </w:tr>
    </w:tbl>
    <w:p w14:paraId="57F14FCC" w14:textId="7D744CB5" w:rsidR="007867A0" w:rsidRPr="00A12F11" w:rsidRDefault="007867A0" w:rsidP="00A12F11">
      <w:pPr>
        <w:pStyle w:val="Default"/>
        <w:spacing w:before="240" w:after="160" w:line="276" w:lineRule="auto"/>
        <w:ind w:left="426" w:hanging="426"/>
        <w:jc w:val="both"/>
      </w:pPr>
      <w:r w:rsidRPr="00A12F11">
        <w:rPr>
          <w:bCs/>
          <w:color w:val="auto"/>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w:t>
      </w:r>
      <w:r w:rsidR="00712B6B" w:rsidRPr="00A12F11">
        <w:rPr>
          <w:bCs/>
          <w:color w:val="auto"/>
        </w:rPr>
        <w:t>Ж</w:t>
      </w:r>
      <w:r w:rsidRPr="00A12F11">
        <w:rPr>
          <w:bCs/>
          <w:color w:val="auto"/>
        </w:rPr>
        <w:t xml:space="preserve">илищное кредитование физических лиц» отчетности МСФО </w:t>
      </w:r>
      <w:r w:rsidR="00712B6B" w:rsidRPr="00A12F11">
        <w:rPr>
          <w:b/>
          <w:color w:val="auto"/>
        </w:rPr>
        <w:t>ПАО «СБЕРБАНК России»</w:t>
      </w:r>
      <w:r w:rsidR="00712B6B" w:rsidRPr="00A12F11">
        <w:rPr>
          <w:bCs/>
          <w:color w:val="auto"/>
        </w:rPr>
        <w:t xml:space="preserve">: </w:t>
      </w:r>
    </w:p>
    <w:p w14:paraId="7F6C90CB" w14:textId="716A0541" w:rsidR="007867A0" w:rsidRPr="00A12F11" w:rsidRDefault="007867A0" w:rsidP="00A12F11">
      <w:pPr>
        <w:pStyle w:val="Default"/>
        <w:spacing w:before="240" w:after="160" w:line="276" w:lineRule="auto"/>
        <w:ind w:left="426" w:hanging="426"/>
        <w:jc w:val="both"/>
        <w:rPr>
          <w:bCs/>
          <w:color w:val="auto"/>
        </w:rPr>
      </w:pPr>
    </w:p>
    <w:tbl>
      <w:tblPr>
        <w:tblW w:w="9938" w:type="dxa"/>
        <w:tblInd w:w="93" w:type="dxa"/>
        <w:tblLook w:val="04A0" w:firstRow="1" w:lastRow="0" w:firstColumn="1" w:lastColumn="0" w:noHBand="0" w:noVBand="1"/>
      </w:tblPr>
      <w:tblGrid>
        <w:gridCol w:w="2283"/>
        <w:gridCol w:w="1985"/>
        <w:gridCol w:w="1843"/>
        <w:gridCol w:w="1482"/>
        <w:gridCol w:w="2552"/>
      </w:tblGrid>
      <w:tr w:rsidR="007867A0" w:rsidRPr="00A12F11" w14:paraId="0CC83DA7" w14:textId="77777777" w:rsidTr="00597EB1">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02FBB12A" w14:textId="70C406D4" w:rsidR="007867A0" w:rsidRPr="00A12F11" w:rsidRDefault="001E59E0"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ПАО «СБЕРБАНК России»:</w:t>
            </w:r>
          </w:p>
        </w:tc>
      </w:tr>
      <w:tr w:rsidR="007867A0" w:rsidRPr="00A12F11" w14:paraId="040AA827" w14:textId="77777777" w:rsidTr="00597EB1">
        <w:trPr>
          <w:trHeight w:val="501"/>
        </w:trPr>
        <w:tc>
          <w:tcPr>
            <w:tcW w:w="2283" w:type="dxa"/>
            <w:tcBorders>
              <w:top w:val="nil"/>
              <w:left w:val="single" w:sz="8" w:space="0" w:color="auto"/>
              <w:bottom w:val="single" w:sz="4" w:space="0" w:color="auto"/>
              <w:right w:val="single" w:sz="4" w:space="0" w:color="auto"/>
            </w:tcBorders>
            <w:noWrap/>
            <w:vAlign w:val="bottom"/>
            <w:hideMark/>
          </w:tcPr>
          <w:p w14:paraId="78F1D54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7090230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649CCC96"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E6178D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2C66EFC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7867A0" w:rsidRPr="00A12F11" w14:paraId="420576D6" w14:textId="77777777" w:rsidTr="00597EB1">
        <w:trPr>
          <w:trHeight w:val="495"/>
        </w:trPr>
        <w:tc>
          <w:tcPr>
            <w:tcW w:w="2283" w:type="dxa"/>
            <w:tcBorders>
              <w:top w:val="nil"/>
              <w:left w:val="single" w:sz="8" w:space="0" w:color="auto"/>
              <w:bottom w:val="single" w:sz="8" w:space="0" w:color="auto"/>
              <w:right w:val="single" w:sz="4" w:space="0" w:color="auto"/>
            </w:tcBorders>
            <w:vAlign w:val="center"/>
            <w:hideMark/>
          </w:tcPr>
          <w:p w14:paraId="27E18C6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2D31F29" w14:textId="3D9AEA74" w:rsidR="007867A0" w:rsidRPr="00A12F11" w:rsidRDefault="0093139E"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315,2</w:t>
            </w:r>
          </w:p>
        </w:tc>
        <w:tc>
          <w:tcPr>
            <w:tcW w:w="1843" w:type="dxa"/>
            <w:tcBorders>
              <w:top w:val="nil"/>
              <w:left w:val="nil"/>
              <w:bottom w:val="single" w:sz="8" w:space="0" w:color="auto"/>
              <w:right w:val="single" w:sz="4" w:space="0" w:color="auto"/>
            </w:tcBorders>
            <w:shd w:val="clear" w:color="auto" w:fill="92D050"/>
            <w:noWrap/>
            <w:vAlign w:val="center"/>
            <w:hideMark/>
          </w:tcPr>
          <w:p w14:paraId="485F2B08" w14:textId="5D802A1F" w:rsidR="007867A0" w:rsidRPr="00A12F11" w:rsidRDefault="0093139E"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1275" w:type="dxa"/>
            <w:tcBorders>
              <w:top w:val="nil"/>
              <w:left w:val="nil"/>
              <w:bottom w:val="single" w:sz="8" w:space="0" w:color="auto"/>
              <w:right w:val="single" w:sz="4" w:space="0" w:color="auto"/>
            </w:tcBorders>
            <w:noWrap/>
            <w:vAlign w:val="center"/>
            <w:hideMark/>
          </w:tcPr>
          <w:p w14:paraId="0602A229" w14:textId="5F8AB690" w:rsidR="007867A0" w:rsidRPr="00A12F11" w:rsidRDefault="0093139E"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3,84</w:t>
            </w:r>
          </w:p>
        </w:tc>
        <w:tc>
          <w:tcPr>
            <w:tcW w:w="2552" w:type="dxa"/>
            <w:tcBorders>
              <w:top w:val="nil"/>
              <w:left w:val="single" w:sz="4" w:space="0" w:color="auto"/>
              <w:bottom w:val="single" w:sz="8" w:space="0" w:color="000000"/>
              <w:right w:val="single" w:sz="8" w:space="0" w:color="auto"/>
            </w:tcBorders>
            <w:vAlign w:val="center"/>
            <w:hideMark/>
          </w:tcPr>
          <w:p w14:paraId="2E13A09D" w14:textId="6466ECD3" w:rsidR="007867A0" w:rsidRPr="00A12F11" w:rsidRDefault="00712B6B"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 кредитование физических лиц</w:t>
            </w:r>
          </w:p>
        </w:tc>
      </w:tr>
    </w:tbl>
    <w:p w14:paraId="0A90AF67" w14:textId="66D18D93" w:rsidR="007867A0" w:rsidRPr="00A12F11" w:rsidRDefault="007867A0" w:rsidP="00A12F11">
      <w:pPr>
        <w:pStyle w:val="Default"/>
        <w:spacing w:before="240" w:after="160" w:line="276" w:lineRule="auto"/>
        <w:ind w:left="426" w:hanging="426"/>
        <w:jc w:val="both"/>
        <w:rPr>
          <w:b/>
        </w:rPr>
      </w:pPr>
      <w:r w:rsidRPr="00A12F11">
        <w:rPr>
          <w:b/>
        </w:rPr>
        <w:t xml:space="preserve">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w:t>
      </w:r>
      <w:r w:rsidR="00712B6B" w:rsidRPr="00A12F11">
        <w:rPr>
          <w:b/>
          <w:color w:val="auto"/>
        </w:rPr>
        <w:t>ПАО «СБЕРБАНК России»</w:t>
      </w:r>
      <w:r w:rsidR="00712B6B" w:rsidRPr="00A12F11">
        <w:rPr>
          <w:bCs/>
          <w:color w:val="auto"/>
        </w:rPr>
        <w:t>:</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19D1BEFF" w14:textId="77777777" w:rsidTr="00597EB1">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A5C4C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17BEA20"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8C9D898" w14:textId="77777777" w:rsidTr="00352F2E">
        <w:trPr>
          <w:trHeight w:val="255"/>
          <w:jc w:val="center"/>
        </w:trPr>
        <w:tc>
          <w:tcPr>
            <w:tcW w:w="2809" w:type="dxa"/>
            <w:tcBorders>
              <w:top w:val="nil"/>
              <w:left w:val="single" w:sz="8" w:space="0" w:color="auto"/>
              <w:bottom w:val="nil"/>
              <w:right w:val="single" w:sz="4" w:space="0" w:color="auto"/>
            </w:tcBorders>
            <w:noWrap/>
            <w:vAlign w:val="bottom"/>
            <w:hideMark/>
          </w:tcPr>
          <w:p w14:paraId="1E98E94C"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nil"/>
              <w:right w:val="single" w:sz="8" w:space="0" w:color="auto"/>
            </w:tcBorders>
            <w:noWrap/>
            <w:vAlign w:val="bottom"/>
            <w:hideMark/>
          </w:tcPr>
          <w:p w14:paraId="6B3AC5F9" w14:textId="0F863776" w:rsidR="0093139E" w:rsidRPr="00A12F11" w:rsidRDefault="0093139E"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3,84</w:t>
            </w:r>
          </w:p>
        </w:tc>
      </w:tr>
      <w:tr w:rsidR="00352F2E" w:rsidRPr="00A12F11" w14:paraId="309DC29C" w14:textId="77777777" w:rsidTr="0093139E">
        <w:trPr>
          <w:trHeight w:val="80"/>
          <w:jc w:val="center"/>
        </w:trPr>
        <w:tc>
          <w:tcPr>
            <w:tcW w:w="2809" w:type="dxa"/>
            <w:tcBorders>
              <w:top w:val="nil"/>
              <w:left w:val="single" w:sz="8" w:space="0" w:color="auto"/>
              <w:bottom w:val="single" w:sz="8" w:space="0" w:color="auto"/>
              <w:right w:val="single" w:sz="4" w:space="0" w:color="auto"/>
            </w:tcBorders>
            <w:noWrap/>
            <w:vAlign w:val="bottom"/>
          </w:tcPr>
          <w:p w14:paraId="0FE72B8C" w14:textId="77777777" w:rsidR="00352F2E" w:rsidRPr="00A12F11" w:rsidRDefault="00352F2E"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411" w:type="dxa"/>
            <w:tcBorders>
              <w:top w:val="nil"/>
              <w:left w:val="nil"/>
              <w:bottom w:val="single" w:sz="8" w:space="0" w:color="auto"/>
              <w:right w:val="single" w:sz="8" w:space="0" w:color="auto"/>
            </w:tcBorders>
            <w:noWrap/>
            <w:vAlign w:val="bottom"/>
          </w:tcPr>
          <w:p w14:paraId="327E4159" w14:textId="77777777" w:rsidR="00352F2E" w:rsidRPr="00A12F11" w:rsidRDefault="00352F2E" w:rsidP="00A12F11">
            <w:pPr>
              <w:spacing w:before="240" w:line="276" w:lineRule="auto"/>
              <w:ind w:left="426" w:hanging="426"/>
              <w:jc w:val="both"/>
              <w:rPr>
                <w:rFonts w:ascii="Times New Roman" w:eastAsia="Times New Roman" w:hAnsi="Times New Roman" w:cs="Times New Roman"/>
                <w:b/>
                <w:color w:val="000000"/>
                <w:sz w:val="24"/>
                <w:szCs w:val="24"/>
                <w:lang w:val="en-US" w:eastAsia="ru-RU"/>
              </w:rPr>
            </w:pPr>
          </w:p>
        </w:tc>
      </w:tr>
    </w:tbl>
    <w:p w14:paraId="6B92923E" w14:textId="7101527A" w:rsidR="004A3A89" w:rsidRPr="00A12F11" w:rsidRDefault="004A3A89" w:rsidP="00A12F11">
      <w:pPr>
        <w:pStyle w:val="a0"/>
        <w:numPr>
          <w:ilvl w:val="0"/>
          <w:numId w:val="0"/>
        </w:numPr>
        <w:spacing w:before="240" w:after="160" w:line="276" w:lineRule="auto"/>
        <w:ind w:left="426" w:hanging="426"/>
        <w:jc w:val="both"/>
        <w:rPr>
          <w:szCs w:val="24"/>
        </w:rPr>
      </w:pPr>
    </w:p>
    <w:p w14:paraId="4BE23CCF" w14:textId="6E0A4627" w:rsidR="00352F2E" w:rsidRPr="00A12F11" w:rsidRDefault="00352F2E" w:rsidP="00A12F11">
      <w:pPr>
        <w:pStyle w:val="a0"/>
        <w:numPr>
          <w:ilvl w:val="0"/>
          <w:numId w:val="0"/>
        </w:numPr>
        <w:spacing w:before="240" w:after="160" w:line="276" w:lineRule="auto"/>
        <w:ind w:left="426" w:hanging="426"/>
        <w:jc w:val="both"/>
        <w:rPr>
          <w:szCs w:val="24"/>
        </w:rPr>
      </w:pPr>
      <w:r w:rsidRPr="00A12F11">
        <w:rPr>
          <w:szCs w:val="24"/>
        </w:rPr>
        <w:t xml:space="preserve">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w:t>
      </w:r>
      <w:r w:rsidR="0095485E" w:rsidRPr="00A12F11">
        <w:rPr>
          <w:szCs w:val="24"/>
        </w:rPr>
        <w:t>об</w:t>
      </w:r>
      <w:r w:rsidRPr="00A12F11">
        <w:rPr>
          <w:szCs w:val="24"/>
        </w:rPr>
        <w:t>есценению.</w:t>
      </w:r>
    </w:p>
    <w:p w14:paraId="41439E00" w14:textId="77777777" w:rsidR="00352F2E" w:rsidRPr="00A12F11" w:rsidRDefault="00352F2E" w:rsidP="00A12F11">
      <w:pPr>
        <w:pStyle w:val="a0"/>
        <w:numPr>
          <w:ilvl w:val="0"/>
          <w:numId w:val="0"/>
        </w:numPr>
        <w:spacing w:before="240" w:after="160" w:line="276" w:lineRule="auto"/>
        <w:ind w:left="426" w:hanging="426"/>
        <w:jc w:val="both"/>
        <w:rPr>
          <w:szCs w:val="24"/>
        </w:rPr>
      </w:pPr>
    </w:p>
    <w:p w14:paraId="5A1146CE" w14:textId="54EDA39B" w:rsidR="00352F2E" w:rsidRPr="00A12F11" w:rsidRDefault="00352F2E" w:rsidP="00A12F11">
      <w:pPr>
        <w:pStyle w:val="Default"/>
        <w:numPr>
          <w:ilvl w:val="1"/>
          <w:numId w:val="63"/>
        </w:numPr>
        <w:spacing w:before="240" w:after="160" w:line="276" w:lineRule="auto"/>
        <w:ind w:left="426" w:hanging="426"/>
        <w:jc w:val="both"/>
      </w:pPr>
      <w:r w:rsidRPr="00A12F11">
        <w:t xml:space="preserve"> Применение отчета оценщика для целей определения справедливой стоимости с учетом обесценения возможно для всех активов, указанных в Приложении 2 Правил, а также для просроченной дебиторской задолженности. </w:t>
      </w:r>
    </w:p>
    <w:p w14:paraId="63D640C0" w14:textId="77777777" w:rsidR="00352F2E" w:rsidRPr="00A12F11" w:rsidRDefault="00352F2E" w:rsidP="00A12F11">
      <w:pPr>
        <w:pStyle w:val="Default"/>
        <w:numPr>
          <w:ilvl w:val="1"/>
          <w:numId w:val="63"/>
        </w:numPr>
        <w:spacing w:before="240" w:after="160" w:line="276" w:lineRule="auto"/>
        <w:ind w:left="426" w:hanging="426"/>
        <w:jc w:val="both"/>
      </w:pPr>
      <w:r w:rsidRPr="00A12F11">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484475D7"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40E9008C"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790B5AFD"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2F0E0E67" w14:textId="45C6DCA4"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А.</w:t>
      </w:r>
    </w:p>
    <w:p w14:paraId="494B59A3" w14:textId="77777777" w:rsidR="001D77FA" w:rsidRPr="00A12F11" w:rsidRDefault="001D77FA" w:rsidP="00A12F11">
      <w:pPr>
        <w:pStyle w:val="ac"/>
        <w:spacing w:before="240" w:line="276" w:lineRule="auto"/>
        <w:ind w:left="426" w:hanging="426"/>
        <w:jc w:val="both"/>
        <w:rPr>
          <w:rFonts w:ascii="Times New Roman" w:hAnsi="Times New Roman" w:cs="Times New Roman"/>
          <w:sz w:val="24"/>
          <w:szCs w:val="24"/>
        </w:rPr>
      </w:pPr>
    </w:p>
    <w:p w14:paraId="6ABAA258"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Список источников, используемых для оценки кредитного риска.</w:t>
      </w:r>
    </w:p>
    <w:p w14:paraId="14F30BE6"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4B1C28AE"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юридических лиц</w:t>
      </w:r>
    </w:p>
    <w:p w14:paraId="125188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уполномоченное агентство ЗАО «Интерфакс» </w:t>
      </w:r>
      <w:hyperlink r:id="rId55" w:history="1">
        <w:r w:rsidRPr="00A12F11">
          <w:rPr>
            <w:rStyle w:val="aff4"/>
            <w:rFonts w:ascii="Times New Roman" w:hAnsi="Times New Roman" w:cs="Times New Roman"/>
            <w:sz w:val="24"/>
            <w:szCs w:val="24"/>
          </w:rPr>
          <w:t>https://www.e-disclosure.ru/</w:t>
        </w:r>
      </w:hyperlink>
      <w:r w:rsidRPr="00A12F11">
        <w:rPr>
          <w:rFonts w:ascii="Times New Roman" w:hAnsi="Times New Roman" w:cs="Times New Roman"/>
          <w:sz w:val="24"/>
          <w:szCs w:val="24"/>
        </w:rPr>
        <w:t>;</w:t>
      </w:r>
    </w:p>
    <w:p w14:paraId="5CFE031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w:t>
      </w:r>
      <w:hyperlink r:id="rId56" w:history="1">
        <w:r w:rsidRPr="00A12F11">
          <w:rPr>
            <w:rStyle w:val="aff4"/>
            <w:rFonts w:ascii="Times New Roman" w:hAnsi="Times New Roman" w:cs="Times New Roman"/>
            <w:sz w:val="24"/>
            <w:szCs w:val="24"/>
          </w:rPr>
          <w:t>https://www.moex.com/</w:t>
        </w:r>
      </w:hyperlink>
      <w:r w:rsidRPr="00A12F11">
        <w:rPr>
          <w:rFonts w:ascii="Times New Roman" w:hAnsi="Times New Roman" w:cs="Times New Roman"/>
          <w:sz w:val="24"/>
          <w:szCs w:val="24"/>
        </w:rPr>
        <w:t>;</w:t>
      </w:r>
    </w:p>
    <w:p w14:paraId="17CAAA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сайт Центрального Банка РФ </w:t>
      </w:r>
      <w:hyperlink r:id="rId57" w:history="1">
        <w:r w:rsidRPr="00A12F11">
          <w:rPr>
            <w:rStyle w:val="aff4"/>
            <w:rFonts w:ascii="Times New Roman" w:hAnsi="Times New Roman" w:cs="Times New Roman"/>
            <w:sz w:val="24"/>
            <w:szCs w:val="24"/>
          </w:rPr>
          <w:t>https://www.cbr.ru/</w:t>
        </w:r>
      </w:hyperlink>
      <w:r w:rsidRPr="00A12F11">
        <w:rPr>
          <w:rFonts w:ascii="Times New Roman" w:hAnsi="Times New Roman" w:cs="Times New Roman"/>
          <w:sz w:val="24"/>
          <w:szCs w:val="24"/>
        </w:rPr>
        <w:t>;</w:t>
      </w:r>
    </w:p>
    <w:p w14:paraId="54ECB296"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картотека арбитражных дел </w:t>
      </w:r>
      <w:hyperlink r:id="rId58" w:history="1">
        <w:r w:rsidRPr="00A12F11">
          <w:rPr>
            <w:rStyle w:val="aff4"/>
            <w:rFonts w:ascii="Times New Roman" w:hAnsi="Times New Roman" w:cs="Times New Roman"/>
            <w:sz w:val="24"/>
            <w:szCs w:val="24"/>
          </w:rPr>
          <w:t>https://kad.arbitr.ru</w:t>
        </w:r>
      </w:hyperlink>
      <w:r w:rsidRPr="00A12F11">
        <w:rPr>
          <w:rFonts w:ascii="Times New Roman" w:hAnsi="Times New Roman" w:cs="Times New Roman"/>
          <w:sz w:val="24"/>
          <w:szCs w:val="24"/>
          <w:u w:val="single"/>
        </w:rPr>
        <w:t>;</w:t>
      </w:r>
    </w:p>
    <w:p w14:paraId="178C0A1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единый федеральный реестр сведений о банкротстве </w:t>
      </w:r>
      <w:hyperlink r:id="rId59" w:history="1">
        <w:r w:rsidRPr="00A12F11">
          <w:rPr>
            <w:rStyle w:val="aff4"/>
            <w:rFonts w:ascii="Times New Roman" w:hAnsi="Times New Roman" w:cs="Times New Roman"/>
            <w:sz w:val="24"/>
            <w:szCs w:val="24"/>
          </w:rPr>
          <w:t>https://bankrot.fedresurs.ru</w:t>
        </w:r>
      </w:hyperlink>
      <w:r w:rsidRPr="00A12F11">
        <w:rPr>
          <w:rFonts w:ascii="Times New Roman" w:hAnsi="Times New Roman" w:cs="Times New Roman"/>
          <w:sz w:val="24"/>
          <w:szCs w:val="24"/>
          <w:u w:val="single"/>
        </w:rPr>
        <w:t>;</w:t>
      </w:r>
    </w:p>
    <w:p w14:paraId="726C20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фактах деятельности юридических лиц </w:t>
      </w:r>
      <w:hyperlink r:id="rId60" w:history="1">
        <w:r w:rsidRPr="00A12F11">
          <w:rPr>
            <w:rStyle w:val="aff4"/>
            <w:rFonts w:ascii="Times New Roman" w:hAnsi="Times New Roman" w:cs="Times New Roman"/>
            <w:sz w:val="24"/>
            <w:szCs w:val="24"/>
          </w:rPr>
          <w:t>https://fedresurs.ru</w:t>
        </w:r>
      </w:hyperlink>
      <w:r w:rsidRPr="00A12F11">
        <w:rPr>
          <w:rFonts w:ascii="Times New Roman" w:hAnsi="Times New Roman" w:cs="Times New Roman"/>
          <w:sz w:val="24"/>
          <w:szCs w:val="24"/>
          <w:u w:val="single"/>
        </w:rPr>
        <w:t>;</w:t>
      </w:r>
    </w:p>
    <w:p w14:paraId="391DEF7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-https://www.acra-ratings.ru/;</w:t>
      </w:r>
    </w:p>
    <w:p w14:paraId="4C77CB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-https://raexpert.ru/;</w:t>
      </w:r>
    </w:p>
    <w:p w14:paraId="2ABCF9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-https://www.fitchratings.com/;</w:t>
      </w:r>
    </w:p>
    <w:p w14:paraId="2EC6B1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lang w:val="en-US"/>
        </w:rPr>
        <w:t>https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www</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standardandpoors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com</w:t>
      </w:r>
      <w:r w:rsidRPr="00A12F11">
        <w:rPr>
          <w:rFonts w:ascii="Times New Roman" w:hAnsi="Times New Roman" w:cs="Times New Roman"/>
          <w:sz w:val="24"/>
          <w:szCs w:val="24"/>
        </w:rPr>
        <w:t>/;</w:t>
      </w:r>
    </w:p>
    <w:p w14:paraId="179F673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hyperlink r:id="rId61" w:history="1">
        <w:r w:rsidRPr="00A12F11">
          <w:rPr>
            <w:rStyle w:val="aff4"/>
            <w:rFonts w:ascii="Times New Roman" w:hAnsi="Times New Roman" w:cs="Times New Roman"/>
            <w:sz w:val="24"/>
            <w:szCs w:val="24"/>
            <w:lang w:val="en-US"/>
          </w:rPr>
          <w:t>https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www</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moodys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com</w:t>
        </w:r>
        <w:r w:rsidRPr="00A12F11">
          <w:rPr>
            <w:rStyle w:val="aff4"/>
            <w:rFonts w:ascii="Times New Roman" w:hAnsi="Times New Roman" w:cs="Times New Roman"/>
            <w:sz w:val="24"/>
            <w:szCs w:val="24"/>
          </w:rPr>
          <w:t>/</w:t>
        </w:r>
      </w:hyperlink>
      <w:r w:rsidRPr="00A12F11">
        <w:rPr>
          <w:rFonts w:ascii="Times New Roman" w:hAnsi="Times New Roman" w:cs="Times New Roman"/>
          <w:sz w:val="24"/>
          <w:szCs w:val="24"/>
        </w:rPr>
        <w:t>;</w:t>
      </w:r>
    </w:p>
    <w:p w14:paraId="5947010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-официальный сайт контрагента/эмитента/кредитной организации;</w:t>
      </w:r>
    </w:p>
    <w:p w14:paraId="13FFE3F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сервис предоставления бухгалтерской (годовой) отчетности Росстата - </w:t>
      </w:r>
      <w:hyperlink r:id="rId62" w:history="1">
        <w:r w:rsidRPr="00A12F11">
          <w:rPr>
            <w:rStyle w:val="aff4"/>
            <w:rFonts w:ascii="Times New Roman" w:hAnsi="Times New Roman" w:cs="Times New Roman"/>
            <w:sz w:val="24"/>
            <w:szCs w:val="24"/>
          </w:rPr>
          <w:t>http://www.gks.ru/accounting_report</w:t>
        </w:r>
      </w:hyperlink>
      <w:r w:rsidRPr="00A12F11">
        <w:rPr>
          <w:rFonts w:ascii="Times New Roman" w:hAnsi="Times New Roman" w:cs="Times New Roman"/>
          <w:sz w:val="24"/>
          <w:szCs w:val="24"/>
        </w:rPr>
        <w:t>;</w:t>
      </w:r>
    </w:p>
    <w:p w14:paraId="4D8E3A82" w14:textId="43AE8CD4"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документы, полученные от Управляющей компании.</w:t>
      </w:r>
    </w:p>
    <w:p w14:paraId="64677F0A"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физических лиц</w:t>
      </w:r>
    </w:p>
    <w:p w14:paraId="71819F7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картотека арбитражных дел </w:t>
      </w:r>
      <w:hyperlink r:id="rId63" w:history="1">
        <w:r w:rsidRPr="00A12F11">
          <w:rPr>
            <w:rStyle w:val="aff4"/>
            <w:rFonts w:ascii="Times New Roman" w:hAnsi="Times New Roman" w:cs="Times New Roman"/>
            <w:sz w:val="24"/>
            <w:szCs w:val="24"/>
          </w:rPr>
          <w:t>https://kad.arbitr.ru</w:t>
        </w:r>
      </w:hyperlink>
    </w:p>
    <w:p w14:paraId="14CF63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банкротстве </w:t>
      </w:r>
      <w:hyperlink r:id="rId64" w:history="1">
        <w:r w:rsidRPr="00A12F11">
          <w:rPr>
            <w:rStyle w:val="aff4"/>
            <w:rFonts w:ascii="Times New Roman" w:hAnsi="Times New Roman" w:cs="Times New Roman"/>
            <w:sz w:val="24"/>
            <w:szCs w:val="24"/>
          </w:rPr>
          <w:t>https://bankrot.fedresurs.ru</w:t>
        </w:r>
      </w:hyperlink>
    </w:p>
    <w:p w14:paraId="0F012C47" w14:textId="1A5D70AB" w:rsidR="00465C8F" w:rsidRPr="00A12F11" w:rsidRDefault="001D77FA" w:rsidP="00A12F11">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 издание «Коммерсант» - </w:t>
      </w:r>
      <w:hyperlink r:id="rId65" w:history="1">
        <w:r w:rsidRPr="00A12F11">
          <w:rPr>
            <w:rStyle w:val="aff4"/>
            <w:rFonts w:ascii="Times New Roman" w:hAnsi="Times New Roman" w:cs="Times New Roman"/>
            <w:sz w:val="24"/>
            <w:szCs w:val="24"/>
          </w:rPr>
          <w:t>https://bankruptcy.kommersant.ru</w:t>
        </w:r>
      </w:hyperlink>
    </w:p>
    <w:p w14:paraId="58E5BFEB" w14:textId="77777777" w:rsidR="00F44B71" w:rsidRDefault="00F44B71" w:rsidP="00A12F11">
      <w:pPr>
        <w:spacing w:before="240" w:line="276" w:lineRule="auto"/>
        <w:ind w:left="426" w:hanging="426"/>
        <w:jc w:val="right"/>
        <w:rPr>
          <w:rFonts w:ascii="Times New Roman" w:hAnsi="Times New Roman" w:cs="Times New Roman"/>
          <w:b/>
          <w:sz w:val="24"/>
          <w:szCs w:val="24"/>
        </w:rPr>
      </w:pPr>
    </w:p>
    <w:p w14:paraId="0899B740" w14:textId="77777777" w:rsidR="00F44B71" w:rsidRDefault="00F44B71" w:rsidP="00A12F11">
      <w:pPr>
        <w:spacing w:before="240" w:line="276" w:lineRule="auto"/>
        <w:ind w:left="426" w:hanging="426"/>
        <w:jc w:val="right"/>
        <w:rPr>
          <w:rFonts w:ascii="Times New Roman" w:hAnsi="Times New Roman" w:cs="Times New Roman"/>
          <w:b/>
          <w:sz w:val="24"/>
          <w:szCs w:val="24"/>
        </w:rPr>
      </w:pPr>
    </w:p>
    <w:p w14:paraId="0D6EE7B3" w14:textId="01006E72"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Б.</w:t>
      </w:r>
    </w:p>
    <w:p w14:paraId="72BB6A9B"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1AF5BF70"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Список банков, используемый для учета страховки при расчете </w:t>
      </w:r>
      <w:r w:rsidRPr="00A12F11">
        <w:rPr>
          <w:rFonts w:ascii="Times New Roman" w:hAnsi="Times New Roman" w:cs="Times New Roman"/>
          <w:b/>
          <w:sz w:val="24"/>
          <w:szCs w:val="24"/>
          <w:lang w:val="en-US"/>
        </w:rPr>
        <w:t>LGD</w:t>
      </w:r>
    </w:p>
    <w:p w14:paraId="60BDDA5E" w14:textId="77777777" w:rsidR="001D77FA" w:rsidRPr="00A12F11" w:rsidRDefault="001D77FA" w:rsidP="00A12F11">
      <w:pPr>
        <w:pStyle w:val="ac"/>
        <w:tabs>
          <w:tab w:val="left" w:pos="6436"/>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b/>
      </w:r>
    </w:p>
    <w:p w14:paraId="1D1706C5"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необеспеченной задолженности физических лиц:</w:t>
      </w:r>
    </w:p>
    <w:p w14:paraId="1366938E" w14:textId="77777777" w:rsidR="000A1560" w:rsidRPr="00A12F11" w:rsidRDefault="000A1560"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Сбербанк, </w:t>
      </w:r>
    </w:p>
    <w:p w14:paraId="6C51A860"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13B55CFE"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2FBD4854"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b/>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по обеспеченной залогом недвижимости    задолженности физических лиц:</w:t>
      </w:r>
    </w:p>
    <w:p w14:paraId="0B8C8002" w14:textId="532C334B" w:rsidR="00352F2E" w:rsidRPr="00A12F11" w:rsidRDefault="00352F2E"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bookmarkStart w:id="10" w:name="_Hlk75938436"/>
      <w:r w:rsidRPr="00A12F11">
        <w:rPr>
          <w:rFonts w:ascii="Times New Roman" w:eastAsia="Calibri" w:hAnsi="Times New Roman" w:cs="Times New Roman"/>
          <w:color w:val="000000"/>
          <w:sz w:val="24"/>
          <w:szCs w:val="24"/>
        </w:rPr>
        <w:t>Сбербанк</w:t>
      </w:r>
    </w:p>
    <w:bookmarkEnd w:id="10"/>
    <w:p w14:paraId="5302EA9E" w14:textId="05B280D5" w:rsidR="001D77FA" w:rsidRPr="00A12F11" w:rsidRDefault="001D77FA" w:rsidP="00A12F11">
      <w:pPr>
        <w:pStyle w:val="ac"/>
        <w:tabs>
          <w:tab w:val="left" w:pos="993"/>
        </w:tabs>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В.</w:t>
      </w:r>
    </w:p>
    <w:p w14:paraId="31EF900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Определение соответствия уровню рейтинга через кредитный спред облигаций</w:t>
      </w:r>
    </w:p>
    <w:p w14:paraId="4E764F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Порядок определения соответствия уровню рейтинга на дату оценки:</w:t>
      </w:r>
    </w:p>
    <w:p w14:paraId="2BC3FAD2"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187A143F"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12F11">
        <w:rPr>
          <w:rStyle w:val="aff7"/>
          <w:rFonts w:ascii="Times New Roman" w:hAnsi="Times New Roman" w:cs="Times New Roman"/>
          <w:sz w:val="24"/>
          <w:szCs w:val="24"/>
        </w:rPr>
        <w:footnoteReference w:id="25"/>
      </w:r>
      <w:r w:rsidRPr="00A12F11">
        <w:rPr>
          <w:rFonts w:ascii="Times New Roman" w:hAnsi="Times New Roman" w:cs="Times New Roman"/>
          <w:sz w:val="24"/>
          <w:szCs w:val="24"/>
        </w:rPr>
        <w:t xml:space="preserve"> кредитный спрэд облигаций с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в сравнении с кредитным спрэдом указанных ниже индексов. Кредитный спрэд рассчитывается</w:t>
      </w:r>
      <w:r w:rsidRPr="00A12F11">
        <w:rPr>
          <w:rStyle w:val="aff7"/>
          <w:rFonts w:ascii="Times New Roman" w:hAnsi="Times New Roman" w:cs="Times New Roman"/>
          <w:sz w:val="24"/>
          <w:szCs w:val="24"/>
        </w:rPr>
        <w:footnoteReference w:id="26"/>
      </w:r>
      <w:r w:rsidRPr="00A12F11">
        <w:rPr>
          <w:rFonts w:ascii="Times New Roman" w:hAnsi="Times New Roman" w:cs="Times New Roman"/>
          <w:sz w:val="24"/>
          <w:szCs w:val="24"/>
        </w:rPr>
        <w:t xml:space="preserve"> как разница между доходностью к погашению облигации на срок ее модифицированной дюрации и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на этот срок. В указанных целях используются следующие индексы:</w:t>
      </w:r>
    </w:p>
    <w:p w14:paraId="1E677314"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рейтинг ≥ BBB-)</w:t>
      </w:r>
    </w:p>
    <w:p w14:paraId="01B696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RUCBITRBBB3Y</w:t>
      </w:r>
    </w:p>
    <w:p w14:paraId="54CA4D4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6" w:history="1">
        <w:r w:rsidRPr="00A12F11">
          <w:rPr>
            <w:rStyle w:val="aff4"/>
            <w:rFonts w:ascii="Times New Roman" w:hAnsi="Times New Roman" w:cs="Times New Roman"/>
            <w:sz w:val="24"/>
            <w:szCs w:val="24"/>
          </w:rPr>
          <w:t>http://moex.com/a2197</w:t>
        </w:r>
      </w:hyperlink>
      <w:r w:rsidRPr="00A12F11">
        <w:rPr>
          <w:rFonts w:ascii="Times New Roman" w:hAnsi="Times New Roman" w:cs="Times New Roman"/>
          <w:sz w:val="24"/>
          <w:szCs w:val="24"/>
        </w:rPr>
        <w:t>.</w:t>
      </w:r>
    </w:p>
    <w:p w14:paraId="0701DE32" w14:textId="77777777" w:rsidR="00122100" w:rsidRDefault="001D77FA" w:rsidP="00122100">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67" w:history="1">
        <w:r w:rsidRPr="00A12F11">
          <w:rPr>
            <w:rStyle w:val="aff4"/>
            <w:rFonts w:ascii="Times New Roman" w:hAnsi="Times New Roman" w:cs="Times New Roman"/>
            <w:sz w:val="24"/>
            <w:szCs w:val="24"/>
          </w:rPr>
          <w:t>http://moex.com/ru/index/RUCBITRBBB3Y/archive</w:t>
        </w:r>
      </w:hyperlink>
    </w:p>
    <w:p w14:paraId="33B65265" w14:textId="086E355D" w:rsidR="001D77FA" w:rsidRPr="00A12F11" w:rsidRDefault="001D77FA"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BB- ≤ рейтинг &lt; BBB-)</w:t>
      </w:r>
    </w:p>
    <w:p w14:paraId="7483B71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RUCBITRBB3Y</w:t>
      </w:r>
    </w:p>
    <w:p w14:paraId="7C13FB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8" w:history="1">
        <w:r w:rsidRPr="00A12F11">
          <w:rPr>
            <w:rStyle w:val="aff4"/>
            <w:rFonts w:ascii="Times New Roman" w:hAnsi="Times New Roman" w:cs="Times New Roman"/>
            <w:sz w:val="24"/>
            <w:szCs w:val="24"/>
          </w:rPr>
          <w:t>http://moex.com/a2196</w:t>
        </w:r>
      </w:hyperlink>
    </w:p>
    <w:p w14:paraId="25ACA0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69" w:history="1">
        <w:r w:rsidRPr="00A12F11">
          <w:rPr>
            <w:rStyle w:val="aff4"/>
            <w:rFonts w:ascii="Times New Roman" w:hAnsi="Times New Roman" w:cs="Times New Roman"/>
            <w:sz w:val="24"/>
            <w:szCs w:val="24"/>
          </w:rPr>
          <w:t>http://moex.com/ru/index/RUCBITRBB3Y/archive</w:t>
        </w:r>
      </w:hyperlink>
    </w:p>
    <w:p w14:paraId="6A89D28F"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(1-3 года, B- ≤ рейтинг &lt; BB-) </w:t>
      </w:r>
    </w:p>
    <w:p w14:paraId="445FAD9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RUCBITRB3Y</w:t>
      </w:r>
    </w:p>
    <w:p w14:paraId="2593341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70" w:history="1">
        <w:r w:rsidRPr="00A12F11">
          <w:rPr>
            <w:rStyle w:val="aff4"/>
            <w:rFonts w:ascii="Times New Roman" w:hAnsi="Times New Roman" w:cs="Times New Roman"/>
            <w:sz w:val="24"/>
            <w:szCs w:val="24"/>
          </w:rPr>
          <w:t>http://moex.com/a2195</w:t>
        </w:r>
      </w:hyperlink>
    </w:p>
    <w:p w14:paraId="1B419BE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71" w:history="1">
        <w:r w:rsidRPr="00A12F11">
          <w:rPr>
            <w:rStyle w:val="aff4"/>
            <w:rFonts w:ascii="Times New Roman" w:hAnsi="Times New Roman" w:cs="Times New Roman"/>
            <w:sz w:val="24"/>
            <w:szCs w:val="24"/>
          </w:rPr>
          <w:t>http://moex.com/ru/index/RUCBITRB3Y/archive/</w:t>
        </w:r>
      </w:hyperlink>
    </w:p>
    <w:p w14:paraId="0F5AB883" w14:textId="1F094AC9" w:rsidR="001D77FA" w:rsidRPr="00573A9D" w:rsidRDefault="001D77FA" w:rsidP="00401846">
      <w:pPr>
        <w:pStyle w:val="ac"/>
        <w:numPr>
          <w:ilvl w:val="0"/>
          <w:numId w:val="15"/>
        </w:numPr>
        <w:spacing w:before="240" w:line="276" w:lineRule="auto"/>
        <w:ind w:left="426" w:hanging="426"/>
        <w:jc w:val="both"/>
        <w:rPr>
          <w:rFonts w:ascii="Times New Roman" w:hAnsi="Times New Roman" w:cs="Times New Roman"/>
          <w:sz w:val="24"/>
          <w:szCs w:val="24"/>
        </w:rPr>
      </w:pPr>
      <w:r w:rsidRPr="00573A9D">
        <w:rPr>
          <w:rFonts w:ascii="Times New Roman" w:hAnsi="Times New Roman" w:cs="Times New Roman"/>
          <w:sz w:val="24"/>
          <w:szCs w:val="24"/>
        </w:rPr>
        <w:t xml:space="preserve"> 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1D77FA" w:rsidRPr="00A12F11" w14:paraId="7A7C1372"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26653B4E"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14A0DE4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Индекс</w:t>
            </w:r>
          </w:p>
        </w:tc>
      </w:tr>
      <w:tr w:rsidR="001D77FA" w:rsidRPr="00A12F11" w14:paraId="649891B5"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0502EB76"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C0FC8D6"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4DCFB071"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C1AB00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36E01699"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RUCBITRBBB3Y</w:t>
            </w:r>
          </w:p>
        </w:tc>
      </w:tr>
      <w:tr w:rsidR="001D77FA" w:rsidRPr="00A12F11" w14:paraId="5A04BDEF"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3B0B61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D47794A"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17EEE48D"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2F7608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73FDC2F"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87731B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2C2A7CD"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40AC2E40"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RUCBITRBB3Y</w:t>
            </w:r>
          </w:p>
        </w:tc>
      </w:tr>
      <w:tr w:rsidR="001D77FA" w:rsidRPr="00A12F11" w14:paraId="575473E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FBB9CA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75F568"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5AFA6FA0"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DEFCF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4018FE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CBF3E92"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54993D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5E27C1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RUCBITRB3Y</w:t>
            </w:r>
          </w:p>
        </w:tc>
      </w:tr>
      <w:tr w:rsidR="001D77FA" w:rsidRPr="00A12F11" w14:paraId="5413DF3B"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FD03411"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16A3F8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3E6C904E"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1967B553"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AA3F14B"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bl>
    <w:p w14:paraId="1B3CF749"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25EEAEE2"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3A866FDA"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42B5AD58"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9CCDA3"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0A77B4D"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E8D3CE" w14:textId="6C2DF06D" w:rsidR="001D77FA" w:rsidRPr="00A12F11" w:rsidRDefault="006D7C0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975FC" w:rsidRPr="00A12F11">
        <w:rPr>
          <w:rFonts w:ascii="Times New Roman" w:hAnsi="Times New Roman" w:cs="Times New Roman"/>
          <w:sz w:val="24"/>
          <w:szCs w:val="24"/>
        </w:rPr>
        <w:t xml:space="preserve">К </w:t>
      </w:r>
      <w:r w:rsidRPr="00A12F11">
        <w:rPr>
          <w:rFonts w:ascii="Times New Roman" w:hAnsi="Times New Roman" w:cs="Times New Roman"/>
          <w:sz w:val="24"/>
          <w:szCs w:val="24"/>
        </w:rPr>
        <w:t>вероятност</w:t>
      </w:r>
      <w:r w:rsidR="001975FC" w:rsidRPr="00A12F11">
        <w:rPr>
          <w:rFonts w:ascii="Times New Roman" w:hAnsi="Times New Roman" w:cs="Times New Roman"/>
          <w:sz w:val="24"/>
          <w:szCs w:val="24"/>
        </w:rPr>
        <w:t>ям</w:t>
      </w:r>
      <w:r w:rsidRPr="00A12F11">
        <w:rPr>
          <w:rFonts w:ascii="Times New Roman" w:hAnsi="Times New Roman" w:cs="Times New Roman"/>
          <w:sz w:val="24"/>
          <w:szCs w:val="24"/>
        </w:rPr>
        <w:t xml:space="preserve"> дефолта </w:t>
      </w:r>
      <w:r w:rsidR="001975FC" w:rsidRPr="00A12F11">
        <w:rPr>
          <w:rFonts w:ascii="Times New Roman" w:hAnsi="Times New Roman" w:cs="Times New Roman"/>
          <w:sz w:val="24"/>
          <w:szCs w:val="24"/>
        </w:rPr>
        <w:t>переход осуществляется в соответствии с Таблицей, указанной в Приложении Д.</w:t>
      </w:r>
    </w:p>
    <w:p w14:paraId="30126D0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Из группы рейтингов, выбирается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среднего значения рейтинга группы (</w:t>
      </w:r>
      <w:r w:rsidRPr="00A12F11">
        <w:rPr>
          <w:rFonts w:ascii="Times New Roman" w:hAnsi="Times New Roman" w:cs="Times New Roman"/>
          <w:sz w:val="24"/>
          <w:szCs w:val="24"/>
          <w:lang w:val="en-US"/>
        </w:rPr>
        <w:t>Baa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w:t>
      </w:r>
      <w:r w:rsidRPr="00A12F11">
        <w:rPr>
          <w:rFonts w:ascii="Times New Roman" w:hAnsi="Times New Roman" w:cs="Times New Roman"/>
          <w:sz w:val="24"/>
          <w:szCs w:val="24"/>
        </w:rPr>
        <w:t>2).</w:t>
      </w:r>
    </w:p>
    <w:p w14:paraId="4DECEA80" w14:textId="77777777" w:rsidR="001D77FA" w:rsidRPr="00A12F11" w:rsidRDefault="001D77FA" w:rsidP="00A12F11">
      <w:pPr>
        <w:pStyle w:val="13"/>
        <w:tabs>
          <w:tab w:val="left" w:pos="993"/>
        </w:tabs>
        <w:spacing w:before="240" w:after="160" w:line="276" w:lineRule="auto"/>
        <w:ind w:left="426" w:hanging="426"/>
        <w:jc w:val="both"/>
        <w:rPr>
          <w:rFonts w:eastAsia="Batang" w:cs="Times New Roman"/>
          <w:i/>
          <w:szCs w:val="24"/>
        </w:rPr>
      </w:pPr>
      <w:r w:rsidRPr="00A12F11">
        <w:rPr>
          <w:rFonts w:eastAsia="Batang" w:cs="Times New Roman"/>
          <w:i/>
          <w:szCs w:val="24"/>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BA8DDB" w14:textId="77777777" w:rsidR="00554F08" w:rsidRDefault="00554F08" w:rsidP="00A12F11">
      <w:pPr>
        <w:pStyle w:val="ac"/>
        <w:spacing w:before="240" w:line="276" w:lineRule="auto"/>
        <w:ind w:left="426" w:hanging="426"/>
        <w:jc w:val="right"/>
        <w:rPr>
          <w:rFonts w:ascii="Times New Roman" w:hAnsi="Times New Roman" w:cs="Times New Roman"/>
          <w:b/>
          <w:sz w:val="24"/>
          <w:szCs w:val="24"/>
        </w:rPr>
      </w:pPr>
    </w:p>
    <w:p w14:paraId="0317258D" w14:textId="38E0DBB5"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Г.</w:t>
      </w:r>
    </w:p>
    <w:p w14:paraId="2A0850F0"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Вероятности дефолта для организаций МСБ</w:t>
      </w:r>
    </w:p>
    <w:p w14:paraId="1C15E24E"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p>
    <w:p w14:paraId="677CE6CE" w14:textId="753933A4"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1D77FA" w:rsidRPr="00A12F11" w14:paraId="2C71B0D5" w14:textId="77777777" w:rsidTr="008E7E14">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3DAF689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51F0"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4D242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lang w:val="en-US"/>
              </w:rPr>
              <w:t>PD</w:t>
            </w:r>
          </w:p>
        </w:tc>
      </w:tr>
      <w:tr w:rsidR="001D77FA" w:rsidRPr="00A12F11" w14:paraId="5E5D5AC3" w14:textId="77777777" w:rsidTr="008E7E14">
        <w:trPr>
          <w:trHeight w:val="315"/>
          <w:jc w:val="center"/>
        </w:trPr>
        <w:tc>
          <w:tcPr>
            <w:tcW w:w="6055" w:type="dxa"/>
            <w:tcBorders>
              <w:top w:val="nil"/>
              <w:left w:val="single" w:sz="4" w:space="0" w:color="auto"/>
              <w:bottom w:val="single" w:sz="4" w:space="0" w:color="auto"/>
              <w:right w:val="single" w:sz="4" w:space="0" w:color="auto"/>
            </w:tcBorders>
            <w:vAlign w:val="center"/>
          </w:tcPr>
          <w:p w14:paraId="2099B718"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91, 92, 94</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4411D3C8"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7AF6851B"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w:t>
            </w:r>
          </w:p>
        </w:tc>
      </w:tr>
      <w:tr w:rsidR="001D77FA" w:rsidRPr="00A12F11" w14:paraId="614C8647"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3E6FD1B8"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2CD4261"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7778687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w:t>
            </w:r>
          </w:p>
        </w:tc>
      </w:tr>
      <w:tr w:rsidR="001D77FA" w:rsidRPr="00A12F11" w14:paraId="370D2AB5"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4FC8451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1100B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6F980BE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w:t>
            </w:r>
          </w:p>
        </w:tc>
      </w:tr>
    </w:tbl>
    <w:p w14:paraId="548C1F95" w14:textId="6DB5DA7C"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1D77FA" w:rsidRPr="00A12F11" w14:paraId="4825646B" w14:textId="77777777" w:rsidTr="008E7E14">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1EA469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24721892"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lang w:val="en-US"/>
              </w:rPr>
              <w:t>PD</w:t>
            </w:r>
          </w:p>
        </w:tc>
      </w:tr>
      <w:tr w:rsidR="001D77FA" w:rsidRPr="00A12F11" w14:paraId="3F92CAD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A2C5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8D507A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0,1503</w:t>
            </w:r>
          </w:p>
        </w:tc>
      </w:tr>
      <w:tr w:rsidR="001D77FA" w:rsidRPr="00A12F11" w14:paraId="5512327B"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7D7D412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493A1A5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0,1049</w:t>
            </w:r>
          </w:p>
        </w:tc>
      </w:tr>
      <w:tr w:rsidR="001D77FA" w:rsidRPr="00A12F11" w14:paraId="509F2CFD"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36278A93"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25FC06D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0,0877</w:t>
            </w:r>
          </w:p>
        </w:tc>
      </w:tr>
      <w:tr w:rsidR="001D77FA" w:rsidRPr="00A12F11" w14:paraId="1D494807"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058DB94F"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90AC58C"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0,0762</w:t>
            </w:r>
          </w:p>
        </w:tc>
      </w:tr>
      <w:tr w:rsidR="001D77FA" w:rsidRPr="00A12F11" w14:paraId="5C8CFFCD"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1F5D08EA"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4F2BC0B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0,0615</w:t>
            </w:r>
          </w:p>
        </w:tc>
      </w:tr>
      <w:tr w:rsidR="001D77FA" w:rsidRPr="00A12F11" w14:paraId="40852990"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283E34B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57910C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0,078</w:t>
            </w:r>
          </w:p>
        </w:tc>
      </w:tr>
      <w:tr w:rsidR="001D77FA" w:rsidRPr="00A12F11" w14:paraId="058E62B6"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4F98449D"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1F8D29E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0,0659</w:t>
            </w:r>
          </w:p>
        </w:tc>
      </w:tr>
      <w:tr w:rsidR="001D77FA" w:rsidRPr="00A12F11" w14:paraId="7874E042"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426D8C06"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7FA1ACF3"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0,0823</w:t>
            </w:r>
          </w:p>
        </w:tc>
      </w:tr>
      <w:tr w:rsidR="001D77FA" w:rsidRPr="00A12F11" w14:paraId="2E2BB30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6CC391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53B6FD9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0,0591</w:t>
            </w:r>
          </w:p>
        </w:tc>
      </w:tr>
      <w:tr w:rsidR="001D77FA" w:rsidRPr="00A12F11" w14:paraId="4B4F04CE"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08C6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79647D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0,0671</w:t>
            </w:r>
          </w:p>
        </w:tc>
      </w:tr>
      <w:tr w:rsidR="001D77FA" w:rsidRPr="00A12F11" w14:paraId="39614833"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1783CC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6CC0BEB6"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0,0904</w:t>
            </w:r>
          </w:p>
        </w:tc>
      </w:tr>
    </w:tbl>
    <w:p w14:paraId="47F29B89" w14:textId="77777777" w:rsidR="00BD2EB5" w:rsidRDefault="00BD2EB5" w:rsidP="00A12F11">
      <w:pPr>
        <w:spacing w:before="240" w:line="276" w:lineRule="auto"/>
        <w:ind w:left="426" w:hanging="426"/>
        <w:jc w:val="right"/>
        <w:rPr>
          <w:rFonts w:ascii="Times New Roman" w:hAnsi="Times New Roman" w:cs="Times New Roman"/>
          <w:b/>
          <w:sz w:val="24"/>
          <w:szCs w:val="24"/>
        </w:rPr>
      </w:pPr>
    </w:p>
    <w:p w14:paraId="159E918D" w14:textId="3C7DFA28"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Д.</w:t>
      </w:r>
    </w:p>
    <w:p w14:paraId="7F4288D0"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2117"/>
        <w:gridCol w:w="1417"/>
        <w:gridCol w:w="1741"/>
        <w:gridCol w:w="2462"/>
        <w:gridCol w:w="2152"/>
      </w:tblGrid>
      <w:tr w:rsidR="001D77FA" w:rsidRPr="00A12F11" w14:paraId="78227CB0" w14:textId="77777777" w:rsidTr="00BD2EB5">
        <w:trPr>
          <w:trHeight w:val="641"/>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3687956A"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p w14:paraId="0A7BD51C" w14:textId="77777777" w:rsidR="001D77FA" w:rsidRPr="00A12F11" w:rsidRDefault="001D77FA" w:rsidP="00554F08">
            <w:pPr>
              <w:spacing w:after="0" w:line="240" w:lineRule="auto"/>
              <w:ind w:left="426" w:hanging="426"/>
              <w:rPr>
                <w:rFonts w:ascii="Times New Roman" w:hAnsi="Times New Roman" w:cs="Times New Roman"/>
                <w:b/>
                <w:bCs/>
                <w:sz w:val="24"/>
                <w:szCs w:val="24"/>
              </w:rPr>
            </w:pPr>
            <w:r w:rsidRPr="00A12F11">
              <w:rPr>
                <w:rFonts w:ascii="Times New Roman" w:hAnsi="Times New Roman" w:cs="Times New Roman"/>
                <w:b/>
                <w:bCs/>
                <w:sz w:val="24"/>
                <w:szCs w:val="24"/>
              </w:rPr>
              <w:t>АКРА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BAB3F3B"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Эксперт РА</w:t>
            </w:r>
          </w:p>
        </w:tc>
        <w:tc>
          <w:tcPr>
            <w:tcW w:w="1741" w:type="dxa"/>
            <w:tcBorders>
              <w:top w:val="single" w:sz="8" w:space="0" w:color="auto"/>
              <w:left w:val="nil"/>
              <w:bottom w:val="single" w:sz="8" w:space="0" w:color="auto"/>
              <w:right w:val="single" w:sz="8" w:space="0" w:color="auto"/>
            </w:tcBorders>
            <w:shd w:val="clear" w:color="auto" w:fill="D8D8D8"/>
            <w:noWrap/>
            <w:vAlign w:val="center"/>
            <w:hideMark/>
          </w:tcPr>
          <w:p w14:paraId="03A58CC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0116A00A"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C0648C4"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Fitch</w:t>
            </w:r>
          </w:p>
        </w:tc>
      </w:tr>
      <w:tr w:rsidR="001D77FA" w:rsidRPr="00A12F11" w14:paraId="32C56800" w14:textId="77777777" w:rsidTr="00554F08">
        <w:trPr>
          <w:trHeight w:val="766"/>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5E167069"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DE34B61"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741" w:type="dxa"/>
            <w:tcBorders>
              <w:top w:val="nil"/>
              <w:left w:val="nil"/>
              <w:bottom w:val="single" w:sz="8" w:space="0" w:color="auto"/>
              <w:right w:val="single" w:sz="8" w:space="0" w:color="auto"/>
            </w:tcBorders>
            <w:shd w:val="clear" w:color="auto" w:fill="F2F2F2"/>
            <w:vAlign w:val="center"/>
            <w:hideMark/>
          </w:tcPr>
          <w:p w14:paraId="33CF9CE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EC353DD"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6675081F"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r>
      <w:tr w:rsidR="001D77FA" w:rsidRPr="00A12F11" w14:paraId="125A3BA4" w14:textId="77777777" w:rsidTr="00BD2EB5">
        <w:trPr>
          <w:trHeight w:val="59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A33A0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9A3A8F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96518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462" w:type="dxa"/>
            <w:tcBorders>
              <w:top w:val="nil"/>
              <w:left w:val="nil"/>
              <w:bottom w:val="single" w:sz="8" w:space="0" w:color="auto"/>
              <w:right w:val="single" w:sz="8" w:space="0" w:color="auto"/>
            </w:tcBorders>
            <w:shd w:val="clear" w:color="auto" w:fill="DEEAF6"/>
            <w:vAlign w:val="center"/>
            <w:hideMark/>
          </w:tcPr>
          <w:p w14:paraId="2FC3095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684AA2F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r>
      <w:tr w:rsidR="001D77FA" w:rsidRPr="00A12F11" w14:paraId="2A9E1608" w14:textId="77777777" w:rsidTr="00BD2EB5">
        <w:trPr>
          <w:trHeight w:val="378"/>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2AAEC3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D93515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7A4B21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Aa1</w:t>
            </w:r>
          </w:p>
        </w:tc>
        <w:tc>
          <w:tcPr>
            <w:tcW w:w="2462" w:type="dxa"/>
            <w:tcBorders>
              <w:top w:val="nil"/>
              <w:left w:val="nil"/>
              <w:bottom w:val="single" w:sz="8" w:space="0" w:color="auto"/>
              <w:right w:val="single" w:sz="8" w:space="0" w:color="auto"/>
            </w:tcBorders>
            <w:shd w:val="clear" w:color="auto" w:fill="DEEAF6"/>
            <w:vAlign w:val="center"/>
            <w:hideMark/>
          </w:tcPr>
          <w:p w14:paraId="34506E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CAED7E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09410BCE" w14:textId="77777777" w:rsidTr="00BD2EB5">
        <w:trPr>
          <w:trHeight w:val="360"/>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0DC00B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1B88B1A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138CA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Aa2</w:t>
            </w:r>
          </w:p>
        </w:tc>
        <w:tc>
          <w:tcPr>
            <w:tcW w:w="2462" w:type="dxa"/>
            <w:tcBorders>
              <w:top w:val="nil"/>
              <w:left w:val="nil"/>
              <w:bottom w:val="single" w:sz="8" w:space="0" w:color="auto"/>
              <w:right w:val="single" w:sz="8" w:space="0" w:color="auto"/>
            </w:tcBorders>
            <w:shd w:val="clear" w:color="auto" w:fill="DEEAF6"/>
            <w:vAlign w:val="center"/>
            <w:hideMark/>
          </w:tcPr>
          <w:p w14:paraId="17071B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6B92EB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293CB03B" w14:textId="77777777" w:rsidTr="00BD2EB5">
        <w:trPr>
          <w:trHeight w:val="613"/>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F6E869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6E2E6E3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478E5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Aa3</w:t>
            </w:r>
          </w:p>
        </w:tc>
        <w:tc>
          <w:tcPr>
            <w:tcW w:w="2462" w:type="dxa"/>
            <w:tcBorders>
              <w:top w:val="nil"/>
              <w:left w:val="nil"/>
              <w:bottom w:val="single" w:sz="8" w:space="0" w:color="auto"/>
              <w:right w:val="single" w:sz="8" w:space="0" w:color="auto"/>
            </w:tcBorders>
            <w:shd w:val="clear" w:color="auto" w:fill="DEEAF6"/>
            <w:vAlign w:val="center"/>
            <w:hideMark/>
          </w:tcPr>
          <w:p w14:paraId="022BC55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643D92F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63619F6A" w14:textId="77777777" w:rsidTr="00BD2EB5">
        <w:trPr>
          <w:trHeight w:val="424"/>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8419A6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27CC580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558CCE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A1</w:t>
            </w:r>
          </w:p>
        </w:tc>
        <w:tc>
          <w:tcPr>
            <w:tcW w:w="2462" w:type="dxa"/>
            <w:tcBorders>
              <w:top w:val="nil"/>
              <w:left w:val="nil"/>
              <w:bottom w:val="single" w:sz="8" w:space="0" w:color="auto"/>
              <w:right w:val="single" w:sz="8" w:space="0" w:color="auto"/>
            </w:tcBorders>
            <w:shd w:val="clear" w:color="auto" w:fill="DEEAF6"/>
            <w:vAlign w:val="center"/>
            <w:hideMark/>
          </w:tcPr>
          <w:p w14:paraId="1AB93F5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4FBEBCE6"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5B2D252B" w14:textId="77777777" w:rsidTr="00BD2EB5">
        <w:trPr>
          <w:trHeight w:val="40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332D99D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7774DD3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5957AC0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A2</w:t>
            </w:r>
          </w:p>
        </w:tc>
        <w:tc>
          <w:tcPr>
            <w:tcW w:w="2462" w:type="dxa"/>
            <w:tcBorders>
              <w:top w:val="nil"/>
              <w:left w:val="nil"/>
              <w:bottom w:val="single" w:sz="8" w:space="0" w:color="auto"/>
              <w:right w:val="single" w:sz="8" w:space="0" w:color="auto"/>
            </w:tcBorders>
            <w:shd w:val="clear" w:color="auto" w:fill="DEEAF6"/>
            <w:vAlign w:val="center"/>
            <w:hideMark/>
          </w:tcPr>
          <w:p w14:paraId="1370283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0C2C5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757A6E86" w14:textId="77777777" w:rsidTr="00BD2EB5">
        <w:trPr>
          <w:trHeight w:val="37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6DF7CED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6C60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E7FAD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A3</w:t>
            </w:r>
          </w:p>
        </w:tc>
        <w:tc>
          <w:tcPr>
            <w:tcW w:w="2462" w:type="dxa"/>
            <w:tcBorders>
              <w:top w:val="nil"/>
              <w:left w:val="nil"/>
              <w:bottom w:val="single" w:sz="8" w:space="0" w:color="auto"/>
              <w:right w:val="single" w:sz="8" w:space="0" w:color="auto"/>
            </w:tcBorders>
            <w:shd w:val="clear" w:color="auto" w:fill="DEEAF6"/>
            <w:vAlign w:val="center"/>
            <w:hideMark/>
          </w:tcPr>
          <w:p w14:paraId="0C8DBB75"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45D2C5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675F792E" w14:textId="77777777" w:rsidTr="00BD2EB5">
        <w:trPr>
          <w:trHeight w:val="48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74EF0C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417" w:type="dxa"/>
            <w:tcBorders>
              <w:top w:val="nil"/>
              <w:left w:val="nil"/>
              <w:bottom w:val="single" w:sz="8" w:space="0" w:color="auto"/>
              <w:right w:val="single" w:sz="8" w:space="0" w:color="auto"/>
            </w:tcBorders>
            <w:shd w:val="clear" w:color="auto" w:fill="DEEAF6"/>
            <w:vAlign w:val="center"/>
            <w:hideMark/>
          </w:tcPr>
          <w:p w14:paraId="11D1CE3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741" w:type="dxa"/>
            <w:tcBorders>
              <w:top w:val="nil"/>
              <w:left w:val="nil"/>
              <w:bottom w:val="single" w:sz="8" w:space="0" w:color="auto"/>
              <w:right w:val="single" w:sz="8" w:space="0" w:color="auto"/>
            </w:tcBorders>
            <w:shd w:val="clear" w:color="auto" w:fill="DEEAF6"/>
            <w:noWrap/>
            <w:vAlign w:val="center"/>
            <w:hideMark/>
          </w:tcPr>
          <w:p w14:paraId="38E1673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Ваа1</w:t>
            </w:r>
          </w:p>
        </w:tc>
        <w:tc>
          <w:tcPr>
            <w:tcW w:w="2462" w:type="dxa"/>
            <w:tcBorders>
              <w:top w:val="nil"/>
              <w:left w:val="nil"/>
              <w:bottom w:val="single" w:sz="8" w:space="0" w:color="auto"/>
              <w:right w:val="single" w:sz="8" w:space="0" w:color="auto"/>
            </w:tcBorders>
            <w:shd w:val="clear" w:color="auto" w:fill="DEEAF6"/>
            <w:vAlign w:val="center"/>
            <w:hideMark/>
          </w:tcPr>
          <w:p w14:paraId="3A41117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6D4767A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43971674" w14:textId="77777777" w:rsidTr="00BD2EB5">
        <w:trPr>
          <w:trHeight w:val="46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4B8D6E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219B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406EDBF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Ваа2</w:t>
            </w:r>
          </w:p>
        </w:tc>
        <w:tc>
          <w:tcPr>
            <w:tcW w:w="2462" w:type="dxa"/>
            <w:tcBorders>
              <w:top w:val="nil"/>
              <w:left w:val="nil"/>
              <w:bottom w:val="single" w:sz="8" w:space="0" w:color="auto"/>
              <w:right w:val="single" w:sz="8" w:space="0" w:color="auto"/>
            </w:tcBorders>
            <w:shd w:val="clear" w:color="auto" w:fill="DEEAF6"/>
            <w:vAlign w:val="center"/>
            <w:hideMark/>
          </w:tcPr>
          <w:p w14:paraId="77F9C50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4409B5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1ECFB82" w14:textId="77777777" w:rsidTr="00BD2EB5">
        <w:trPr>
          <w:trHeight w:val="766"/>
          <w:jc w:val="center"/>
        </w:trPr>
        <w:tc>
          <w:tcPr>
            <w:tcW w:w="2117" w:type="dxa"/>
            <w:tcBorders>
              <w:top w:val="nil"/>
              <w:left w:val="single" w:sz="8" w:space="0" w:color="auto"/>
              <w:bottom w:val="single" w:sz="4" w:space="0" w:color="auto"/>
              <w:right w:val="single" w:sz="8" w:space="0" w:color="auto"/>
            </w:tcBorders>
            <w:shd w:val="clear" w:color="auto" w:fill="DEEAF6"/>
            <w:vAlign w:val="center"/>
            <w:hideMark/>
          </w:tcPr>
          <w:p w14:paraId="164549C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AAA(RU)</w:t>
            </w:r>
          </w:p>
        </w:tc>
        <w:tc>
          <w:tcPr>
            <w:tcW w:w="1417" w:type="dxa"/>
            <w:tcBorders>
              <w:top w:val="nil"/>
              <w:left w:val="nil"/>
              <w:bottom w:val="single" w:sz="4" w:space="0" w:color="auto"/>
              <w:right w:val="single" w:sz="8" w:space="0" w:color="auto"/>
            </w:tcBorders>
            <w:shd w:val="clear" w:color="auto" w:fill="DEEAF6"/>
            <w:vAlign w:val="center"/>
            <w:hideMark/>
          </w:tcPr>
          <w:p w14:paraId="7B2CA8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ruAAA</w:t>
            </w:r>
          </w:p>
        </w:tc>
        <w:tc>
          <w:tcPr>
            <w:tcW w:w="1741" w:type="dxa"/>
            <w:tcBorders>
              <w:top w:val="nil"/>
              <w:left w:val="nil"/>
              <w:bottom w:val="single" w:sz="4" w:space="0" w:color="auto"/>
              <w:right w:val="single" w:sz="8" w:space="0" w:color="auto"/>
            </w:tcBorders>
            <w:shd w:val="clear" w:color="auto" w:fill="DEEAF6"/>
            <w:noWrap/>
            <w:vAlign w:val="center"/>
            <w:hideMark/>
          </w:tcPr>
          <w:p w14:paraId="7B4BA8E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Ваа3</w:t>
            </w:r>
          </w:p>
        </w:tc>
        <w:tc>
          <w:tcPr>
            <w:tcW w:w="2462" w:type="dxa"/>
            <w:tcBorders>
              <w:top w:val="nil"/>
              <w:left w:val="nil"/>
              <w:bottom w:val="single" w:sz="4" w:space="0" w:color="auto"/>
              <w:right w:val="single" w:sz="8" w:space="0" w:color="auto"/>
            </w:tcBorders>
            <w:shd w:val="clear" w:color="auto" w:fill="DEEAF6"/>
            <w:vAlign w:val="center"/>
            <w:hideMark/>
          </w:tcPr>
          <w:p w14:paraId="209A904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649E248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F5EA3F6" w14:textId="77777777" w:rsidTr="00BD2EB5">
        <w:trPr>
          <w:trHeight w:val="640"/>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796C3E" w14:textId="77777777" w:rsidR="001D77FA" w:rsidRPr="00BD2EB5" w:rsidRDefault="001D77FA" w:rsidP="00554F08">
            <w:pPr>
              <w:spacing w:before="240" w:line="240" w:lineRule="auto"/>
              <w:ind w:left="426" w:hanging="426"/>
              <w:rPr>
                <w:rFonts w:ascii="Times New Roman" w:hAnsi="Times New Roman" w:cs="Times New Roman"/>
                <w:sz w:val="18"/>
                <w:szCs w:val="18"/>
                <w:lang w:val="en-US"/>
              </w:rPr>
            </w:pPr>
            <w:r w:rsidRPr="00BD2EB5">
              <w:rPr>
                <w:rFonts w:ascii="Times New Roman" w:hAnsi="Times New Roman" w:cs="Times New Roman"/>
                <w:sz w:val="18"/>
                <w:szCs w:val="18"/>
                <w:lang w:val="en-US"/>
              </w:rPr>
              <w:t>AA+(RU), AA(RU), AA-(RU)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3A3A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ruAA</w:t>
            </w:r>
          </w:p>
        </w:tc>
        <w:tc>
          <w:tcPr>
            <w:tcW w:w="174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00F541F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F1777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980703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3298516C" w14:textId="77777777" w:rsidTr="00BD2EB5">
        <w:trPr>
          <w:trHeight w:val="999"/>
          <w:jc w:val="center"/>
        </w:trPr>
        <w:tc>
          <w:tcPr>
            <w:tcW w:w="2117"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5CC4D900" w14:textId="77777777" w:rsidR="001D77FA" w:rsidRPr="00BD2EB5" w:rsidRDefault="001D77FA" w:rsidP="00554F08">
            <w:pPr>
              <w:spacing w:before="240" w:line="240" w:lineRule="auto"/>
              <w:ind w:left="426" w:hanging="426"/>
              <w:rPr>
                <w:rFonts w:ascii="Times New Roman" w:hAnsi="Times New Roman" w:cs="Times New Roman"/>
                <w:sz w:val="18"/>
                <w:szCs w:val="18"/>
              </w:rPr>
            </w:pPr>
            <w:r w:rsidRPr="00BD2EB5">
              <w:rPr>
                <w:rFonts w:ascii="Times New Roman" w:hAnsi="Times New Roman" w:cs="Times New Roman"/>
                <w:sz w:val="18"/>
                <w:szCs w:val="18"/>
              </w:rPr>
              <w:t>A+(RU), A(RU)</w:t>
            </w:r>
          </w:p>
        </w:tc>
        <w:tc>
          <w:tcPr>
            <w:tcW w:w="1417" w:type="dxa"/>
            <w:tcBorders>
              <w:top w:val="single" w:sz="4" w:space="0" w:color="auto"/>
              <w:left w:val="nil"/>
              <w:bottom w:val="single" w:sz="4" w:space="0" w:color="auto"/>
              <w:right w:val="single" w:sz="8" w:space="0" w:color="auto"/>
            </w:tcBorders>
            <w:shd w:val="clear" w:color="auto" w:fill="DEEAF6"/>
            <w:vAlign w:val="center"/>
            <w:hideMark/>
          </w:tcPr>
          <w:p w14:paraId="06C5BD8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w:t>
            </w:r>
          </w:p>
        </w:tc>
        <w:tc>
          <w:tcPr>
            <w:tcW w:w="1741" w:type="dxa"/>
            <w:tcBorders>
              <w:top w:val="single" w:sz="4" w:space="0" w:color="auto"/>
              <w:left w:val="nil"/>
              <w:bottom w:val="single" w:sz="4" w:space="0" w:color="auto"/>
              <w:right w:val="single" w:sz="8" w:space="0" w:color="auto"/>
            </w:tcBorders>
            <w:shd w:val="clear" w:color="auto" w:fill="DEEAF6"/>
            <w:noWrap/>
            <w:vAlign w:val="center"/>
            <w:hideMark/>
          </w:tcPr>
          <w:p w14:paraId="6B04A66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2C71A14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1E4405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17B5E826" w14:textId="77777777" w:rsidTr="00BD2EB5">
        <w:trPr>
          <w:trHeight w:val="884"/>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78599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A-(RU), BBB+(RU)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1239B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 ruA-, ruBBB+</w:t>
            </w:r>
          </w:p>
        </w:tc>
        <w:tc>
          <w:tcPr>
            <w:tcW w:w="17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3D1A5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2854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F4EA8F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44986889" w14:textId="77777777" w:rsidTr="00BD2EB5">
        <w:trPr>
          <w:trHeight w:val="790"/>
          <w:jc w:val="center"/>
        </w:trPr>
        <w:tc>
          <w:tcPr>
            <w:tcW w:w="2117"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3897C56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BBB(RU), BBB-(RU)</w:t>
            </w:r>
          </w:p>
        </w:tc>
        <w:tc>
          <w:tcPr>
            <w:tcW w:w="1417" w:type="dxa"/>
            <w:tcBorders>
              <w:top w:val="single" w:sz="4" w:space="0" w:color="auto"/>
              <w:left w:val="nil"/>
              <w:bottom w:val="single" w:sz="8" w:space="0" w:color="auto"/>
              <w:right w:val="single" w:sz="8" w:space="0" w:color="auto"/>
            </w:tcBorders>
            <w:shd w:val="clear" w:color="auto" w:fill="FBE4D5"/>
            <w:vAlign w:val="center"/>
            <w:hideMark/>
          </w:tcPr>
          <w:p w14:paraId="317D0B3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w:t>
            </w:r>
          </w:p>
        </w:tc>
        <w:tc>
          <w:tcPr>
            <w:tcW w:w="1741" w:type="dxa"/>
            <w:tcBorders>
              <w:top w:val="single" w:sz="4" w:space="0" w:color="auto"/>
              <w:left w:val="nil"/>
              <w:bottom w:val="single" w:sz="8" w:space="0" w:color="auto"/>
              <w:right w:val="single" w:sz="8" w:space="0" w:color="auto"/>
            </w:tcBorders>
            <w:shd w:val="clear" w:color="auto" w:fill="FBE4D5"/>
            <w:vAlign w:val="center"/>
            <w:hideMark/>
          </w:tcPr>
          <w:p w14:paraId="2522F33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48D8BF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3E2FA3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6F2F7EEA" w14:textId="77777777" w:rsidTr="00BD2EB5">
        <w:trPr>
          <w:trHeight w:val="466"/>
          <w:jc w:val="center"/>
        </w:trPr>
        <w:tc>
          <w:tcPr>
            <w:tcW w:w="2117" w:type="dxa"/>
            <w:tcBorders>
              <w:top w:val="nil"/>
              <w:left w:val="single" w:sz="8" w:space="0" w:color="auto"/>
              <w:bottom w:val="single" w:sz="4" w:space="0" w:color="auto"/>
              <w:right w:val="single" w:sz="8" w:space="0" w:color="auto"/>
            </w:tcBorders>
            <w:shd w:val="clear" w:color="auto" w:fill="FBE4D5"/>
            <w:vAlign w:val="center"/>
            <w:hideMark/>
          </w:tcPr>
          <w:p w14:paraId="25EF260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w:t>
            </w:r>
          </w:p>
        </w:tc>
        <w:tc>
          <w:tcPr>
            <w:tcW w:w="1417" w:type="dxa"/>
            <w:tcBorders>
              <w:top w:val="nil"/>
              <w:left w:val="nil"/>
              <w:bottom w:val="single" w:sz="4" w:space="0" w:color="auto"/>
              <w:right w:val="single" w:sz="8" w:space="0" w:color="auto"/>
            </w:tcBorders>
            <w:shd w:val="clear" w:color="auto" w:fill="FBE4D5"/>
            <w:vAlign w:val="center"/>
            <w:hideMark/>
          </w:tcPr>
          <w:p w14:paraId="62921D8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 ruBB+</w:t>
            </w:r>
          </w:p>
        </w:tc>
        <w:tc>
          <w:tcPr>
            <w:tcW w:w="1741" w:type="dxa"/>
            <w:tcBorders>
              <w:top w:val="nil"/>
              <w:left w:val="nil"/>
              <w:bottom w:val="single" w:sz="4" w:space="0" w:color="auto"/>
              <w:right w:val="single" w:sz="8" w:space="0" w:color="auto"/>
            </w:tcBorders>
            <w:shd w:val="clear" w:color="auto" w:fill="FBE4D5"/>
            <w:vAlign w:val="center"/>
            <w:hideMark/>
          </w:tcPr>
          <w:p w14:paraId="1A84899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В2</w:t>
            </w:r>
          </w:p>
        </w:tc>
        <w:tc>
          <w:tcPr>
            <w:tcW w:w="2462" w:type="dxa"/>
            <w:tcBorders>
              <w:top w:val="nil"/>
              <w:left w:val="nil"/>
              <w:bottom w:val="single" w:sz="4" w:space="0" w:color="auto"/>
              <w:right w:val="single" w:sz="8" w:space="0" w:color="auto"/>
            </w:tcBorders>
            <w:shd w:val="clear" w:color="auto" w:fill="FBE4D5"/>
            <w:vAlign w:val="center"/>
            <w:hideMark/>
          </w:tcPr>
          <w:p w14:paraId="699FE1E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nil"/>
              <w:left w:val="nil"/>
              <w:bottom w:val="single" w:sz="4" w:space="0" w:color="auto"/>
              <w:right w:val="single" w:sz="8" w:space="0" w:color="auto"/>
            </w:tcBorders>
            <w:shd w:val="clear" w:color="auto" w:fill="FBE4D5"/>
            <w:vAlign w:val="center"/>
            <w:hideMark/>
          </w:tcPr>
          <w:p w14:paraId="35AAA95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7C164309" w14:textId="77777777" w:rsidTr="00BD2EB5">
        <w:trPr>
          <w:trHeight w:val="492"/>
          <w:jc w:val="center"/>
        </w:trPr>
        <w:tc>
          <w:tcPr>
            <w:tcW w:w="2117"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C24D11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 BB-(RU)</w:t>
            </w:r>
          </w:p>
        </w:tc>
        <w:tc>
          <w:tcPr>
            <w:tcW w:w="1417" w:type="dxa"/>
            <w:tcBorders>
              <w:top w:val="single" w:sz="4" w:space="0" w:color="auto"/>
              <w:left w:val="nil"/>
              <w:bottom w:val="single" w:sz="4" w:space="0" w:color="auto"/>
              <w:right w:val="single" w:sz="8" w:space="0" w:color="auto"/>
            </w:tcBorders>
            <w:shd w:val="clear" w:color="auto" w:fill="FBE4D5"/>
            <w:vAlign w:val="center"/>
            <w:hideMark/>
          </w:tcPr>
          <w:p w14:paraId="7B754EF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w:t>
            </w:r>
          </w:p>
        </w:tc>
        <w:tc>
          <w:tcPr>
            <w:tcW w:w="1741" w:type="dxa"/>
            <w:tcBorders>
              <w:top w:val="single" w:sz="4" w:space="0" w:color="auto"/>
              <w:left w:val="nil"/>
              <w:bottom w:val="single" w:sz="4" w:space="0" w:color="auto"/>
              <w:right w:val="single" w:sz="8" w:space="0" w:color="auto"/>
            </w:tcBorders>
            <w:shd w:val="clear" w:color="auto" w:fill="FBE4D5"/>
            <w:vAlign w:val="center"/>
            <w:hideMark/>
          </w:tcPr>
          <w:p w14:paraId="5E63591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245E58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52860FB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r>
      <w:tr w:rsidR="001D77FA" w:rsidRPr="00A12F11" w14:paraId="426C6D17" w14:textId="77777777" w:rsidTr="00BD2EB5">
        <w:trPr>
          <w:trHeight w:val="541"/>
          <w:jc w:val="center"/>
        </w:trPr>
        <w:tc>
          <w:tcPr>
            <w:tcW w:w="2117"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7D16A2C2"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CC, C</w:t>
            </w:r>
          </w:p>
        </w:tc>
        <w:tc>
          <w:tcPr>
            <w:tcW w:w="1417"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86EDB4B" w14:textId="77777777" w:rsidR="001D77FA" w:rsidRPr="00BD2EB5" w:rsidRDefault="001D77FA" w:rsidP="00A12F11">
            <w:pPr>
              <w:spacing w:before="240" w:line="276"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lang w:val="en-US"/>
              </w:rPr>
              <w:t>CCC, CC, C</w:t>
            </w:r>
          </w:p>
        </w:tc>
        <w:tc>
          <w:tcPr>
            <w:tcW w:w="1741"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FDFBEF5"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5ADC0BA"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35C78600"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r>
    </w:tbl>
    <w:p w14:paraId="46EA3122" w14:textId="71F098C8" w:rsidR="003C11BF" w:rsidRPr="00A12F11" w:rsidRDefault="00391C41"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sz w:val="24"/>
          <w:szCs w:val="24"/>
        </w:rPr>
        <w:t xml:space="preserve">    </w:t>
      </w:r>
      <w:r w:rsidR="006D4131" w:rsidRPr="00A12F11">
        <w:rPr>
          <w:rFonts w:ascii="Times New Roman" w:hAnsi="Times New Roman" w:cs="Times New Roman"/>
          <w:b/>
          <w:sz w:val="24"/>
          <w:szCs w:val="24"/>
        </w:rPr>
        <w:t xml:space="preserve">Приложение 6 </w:t>
      </w:r>
    </w:p>
    <w:p w14:paraId="2A43CBEF" w14:textId="77777777" w:rsidR="003C11BF" w:rsidRPr="00A12F11" w:rsidRDefault="003C11BF" w:rsidP="00A12F11">
      <w:pPr>
        <w:pStyle w:val="11"/>
        <w:spacing w:before="240" w:after="160" w:line="276" w:lineRule="auto"/>
        <w:ind w:left="426" w:hanging="426"/>
        <w:jc w:val="center"/>
        <w:rPr>
          <w:rFonts w:ascii="Times New Roman" w:eastAsiaTheme="minorEastAsia" w:hAnsi="Times New Roman" w:cs="Times New Roman"/>
          <w:b/>
          <w:caps/>
          <w:color w:val="000000" w:themeColor="text1"/>
          <w:sz w:val="24"/>
          <w:szCs w:val="24"/>
        </w:rPr>
      </w:pPr>
      <w:r w:rsidRPr="00A12F11">
        <w:rPr>
          <w:rFonts w:ascii="Times New Roman" w:eastAsiaTheme="minorEastAsia" w:hAnsi="Times New Roman" w:cs="Times New Roman"/>
          <w:b/>
          <w:caps/>
          <w:color w:val="000000" w:themeColor="text1"/>
          <w:sz w:val="24"/>
          <w:szCs w:val="24"/>
        </w:rPr>
        <w:t>ОПЕРАЦИОННАЯ ДЕБИТОРСКАЯ ЗАДОЛЖЕННОСТЬ</w:t>
      </w:r>
    </w:p>
    <w:p w14:paraId="05F36565"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rPr>
      </w:pPr>
    </w:p>
    <w:p w14:paraId="658597CD"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rPr>
        <w:t>Признание дебиторской задолженности операционной осуществляется на основании условий погашения и допустимых сроков просрочки исполнения обязательств контрагентов, установленных по каждому виду дебиторской задолженности в соответствующих приложениях настоящих Правил определения СЧА.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511D7195" w14:textId="7C674642"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Дебиторская задолженность, по которой выявлен один или несколько признаков обесценения, указанных в </w:t>
      </w:r>
      <w:hyperlink w:anchor="_Приложение_6._Метод" w:history="1">
        <w:r w:rsidRPr="00A12F11">
          <w:rPr>
            <w:rStyle w:val="aff4"/>
            <w:rFonts w:ascii="Times New Roman" w:hAnsi="Times New Roman" w:cs="Times New Roman"/>
            <w:sz w:val="24"/>
            <w:szCs w:val="24"/>
          </w:rPr>
          <w:t xml:space="preserve">Приложении </w:t>
        </w:r>
      </w:hyperlink>
      <w:r w:rsidR="0004394C" w:rsidRPr="00A12F11">
        <w:rPr>
          <w:rStyle w:val="aff4"/>
          <w:rFonts w:ascii="Times New Roman" w:hAnsi="Times New Roman" w:cs="Times New Roman"/>
          <w:sz w:val="24"/>
          <w:szCs w:val="24"/>
        </w:rPr>
        <w:t>5</w:t>
      </w:r>
      <w:r w:rsidRPr="00A12F11">
        <w:rPr>
          <w:rFonts w:ascii="Times New Roman" w:hAnsi="Times New Roman" w:cs="Times New Roman"/>
          <w:sz w:val="24"/>
          <w:szCs w:val="24"/>
        </w:rPr>
        <w:t>, кроме допустимой просрочки обязательств в рамках операционного цикла, не может быть признана операционной.</w:t>
      </w:r>
    </w:p>
    <w:p w14:paraId="719B405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6C010474"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E14B9DE"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Анализ уровня риска проводится: </w:t>
      </w:r>
    </w:p>
    <w:p w14:paraId="7C2B70DB"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каждую отчетную дату, установленную Правилами определения СЧА ПИФ;</w:t>
      </w:r>
    </w:p>
    <w:p w14:paraId="29958176"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первоначальном признании дебиторской задолженности;</w:t>
      </w:r>
    </w:p>
    <w:p w14:paraId="6794681A"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момент перехода дебиторской задолженности из статуса «операционной» в статус «просроченной».</w:t>
      </w:r>
    </w:p>
    <w:p w14:paraId="436A9E4A"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6C47457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процессе анализа Управляющая компания определяет:</w:t>
      </w:r>
    </w:p>
    <w:p w14:paraId="0541A6A1"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возможность квалификации дебиторской задолженности в качестве операционной, признание которой осуществляется  впервые; </w:t>
      </w:r>
    </w:p>
    <w:p w14:paraId="42A21646"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необходимость изменения подхода к учету дебиторской задолженности, ранее признанной операционной.</w:t>
      </w:r>
    </w:p>
    <w:p w14:paraId="0B8B293B" w14:textId="5BCF2D49" w:rsidR="006D4131" w:rsidRPr="00A12F11" w:rsidRDefault="003C11BF" w:rsidP="00A12F11">
      <w:pPr>
        <w:spacing w:before="240" w:line="276" w:lineRule="auto"/>
        <w:ind w:left="426" w:hanging="426"/>
        <w:jc w:val="both"/>
        <w:rPr>
          <w:rFonts w:ascii="Times New Roman" w:hAnsi="Times New Roman" w:cs="Times New Roman"/>
          <w:b/>
          <w:i/>
          <w:sz w:val="24"/>
          <w:szCs w:val="24"/>
        </w:rPr>
      </w:pPr>
      <w:r w:rsidRPr="00A12F11">
        <w:rPr>
          <w:rFonts w:ascii="Times New Roman" w:hAnsi="Times New Roman" w:cs="Times New Roman"/>
          <w:sz w:val="24"/>
          <w:szCs w:val="24"/>
        </w:rPr>
        <w:t xml:space="preserve">В течение всего срока квалификации дебиторской задолженности </w:t>
      </w:r>
      <w:r w:rsidR="00C6057E" w:rsidRPr="00A12F11">
        <w:rPr>
          <w:rFonts w:ascii="Times New Roman" w:hAnsi="Times New Roman" w:cs="Times New Roman"/>
          <w:sz w:val="24"/>
          <w:szCs w:val="24"/>
        </w:rPr>
        <w:t>как операционной, ее</w:t>
      </w:r>
      <w:r w:rsidRPr="00A12F11">
        <w:rPr>
          <w:rFonts w:ascii="Times New Roman" w:hAnsi="Times New Roman" w:cs="Times New Roman"/>
          <w:sz w:val="24"/>
          <w:szCs w:val="24"/>
        </w:rPr>
        <w:t xml:space="preserve"> справедливая стоимость определяется в номинальной величине на дату определения справедливой стоимости в отсутствии иных признаков обесценения.</w:t>
      </w:r>
    </w:p>
    <w:p w14:paraId="74B96378" w14:textId="77777777" w:rsidR="006D4131" w:rsidRPr="00A12F11" w:rsidRDefault="006D4131" w:rsidP="00A12F11">
      <w:pPr>
        <w:pStyle w:val="ac"/>
        <w:autoSpaceDE w:val="0"/>
        <w:autoSpaceDN w:val="0"/>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p>
    <w:tbl>
      <w:tblPr>
        <w:tblStyle w:val="af3"/>
        <w:tblW w:w="10064" w:type="dxa"/>
        <w:tblInd w:w="137" w:type="dxa"/>
        <w:tblLayout w:type="fixed"/>
        <w:tblLook w:val="04A0" w:firstRow="1" w:lastRow="0" w:firstColumn="1" w:lastColumn="0" w:noHBand="0" w:noVBand="1"/>
      </w:tblPr>
      <w:tblGrid>
        <w:gridCol w:w="3544"/>
        <w:gridCol w:w="2410"/>
        <w:gridCol w:w="4110"/>
      </w:tblGrid>
      <w:tr w:rsidR="006D4131" w:rsidRPr="00A12F11" w14:paraId="0513C3D2" w14:textId="77777777" w:rsidTr="00573A9D">
        <w:trPr>
          <w:trHeight w:val="1860"/>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729E4CA"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Вид дебиторской задолженности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3AC5F6"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Условия для признания дебиторской задолженности операционной</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2C9717F"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6D4131" w:rsidRPr="00A12F11" w14:paraId="5DC38581" w14:textId="77777777" w:rsidTr="00573A9D">
        <w:trPr>
          <w:trHeight w:val="665"/>
        </w:trPr>
        <w:tc>
          <w:tcPr>
            <w:tcW w:w="3544" w:type="dxa"/>
            <w:tcBorders>
              <w:top w:val="single" w:sz="4" w:space="0" w:color="auto"/>
              <w:left w:val="single" w:sz="4" w:space="0" w:color="auto"/>
              <w:bottom w:val="single" w:sz="4" w:space="0" w:color="auto"/>
              <w:right w:val="single" w:sz="4" w:space="0" w:color="auto"/>
            </w:tcBorders>
            <w:vAlign w:val="center"/>
            <w:hideMark/>
          </w:tcPr>
          <w:p w14:paraId="624C08F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019723"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A0FDDF9" w14:textId="77777777" w:rsidR="006D4131" w:rsidRPr="00A12F11" w:rsidRDefault="006D4131" w:rsidP="00573A9D">
            <w:pPr>
              <w:spacing w:before="240" w:line="276" w:lineRule="auto"/>
              <w:ind w:left="34" w:right="452"/>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4A75727C" w14:textId="77777777" w:rsidTr="00573A9D">
        <w:trPr>
          <w:trHeight w:val="826"/>
        </w:trPr>
        <w:tc>
          <w:tcPr>
            <w:tcW w:w="3544" w:type="dxa"/>
            <w:tcBorders>
              <w:top w:val="single" w:sz="4" w:space="0" w:color="auto"/>
              <w:left w:val="single" w:sz="4" w:space="0" w:color="auto"/>
              <w:bottom w:val="single" w:sz="4" w:space="0" w:color="auto"/>
              <w:right w:val="single" w:sz="4" w:space="0" w:color="auto"/>
            </w:tcBorders>
            <w:vAlign w:val="center"/>
            <w:hideMark/>
          </w:tcPr>
          <w:p w14:paraId="30E57CD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3B2F9"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25FD5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3F795F77" w14:textId="77777777" w:rsidTr="00573A9D">
        <w:trPr>
          <w:trHeight w:val="569"/>
        </w:trPr>
        <w:tc>
          <w:tcPr>
            <w:tcW w:w="3544" w:type="dxa"/>
            <w:tcBorders>
              <w:top w:val="single" w:sz="4" w:space="0" w:color="auto"/>
              <w:left w:val="single" w:sz="4" w:space="0" w:color="auto"/>
              <w:bottom w:val="single" w:sz="4" w:space="0" w:color="auto"/>
              <w:right w:val="single" w:sz="4" w:space="0" w:color="auto"/>
            </w:tcBorders>
            <w:vAlign w:val="center"/>
            <w:hideMark/>
          </w:tcPr>
          <w:p w14:paraId="16B5E481"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BDA1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0BA8B28"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17130850" w14:textId="77777777" w:rsidTr="00573A9D">
        <w:trPr>
          <w:trHeight w:val="833"/>
        </w:trPr>
        <w:tc>
          <w:tcPr>
            <w:tcW w:w="3544" w:type="dxa"/>
            <w:tcBorders>
              <w:top w:val="single" w:sz="4" w:space="0" w:color="auto"/>
              <w:left w:val="single" w:sz="4" w:space="0" w:color="auto"/>
              <w:bottom w:val="single" w:sz="4" w:space="0" w:color="auto"/>
              <w:right w:val="single" w:sz="4" w:space="0" w:color="auto"/>
            </w:tcBorders>
            <w:vAlign w:val="center"/>
            <w:hideMark/>
          </w:tcPr>
          <w:p w14:paraId="2E501B4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33D586"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993683F"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2E5A7E43" w14:textId="77777777" w:rsidTr="00573A9D">
        <w:trPr>
          <w:trHeight w:val="561"/>
        </w:trPr>
        <w:tc>
          <w:tcPr>
            <w:tcW w:w="3544" w:type="dxa"/>
            <w:tcBorders>
              <w:top w:val="single" w:sz="4" w:space="0" w:color="auto"/>
              <w:left w:val="single" w:sz="4" w:space="0" w:color="auto"/>
              <w:bottom w:val="single" w:sz="4" w:space="0" w:color="auto"/>
              <w:right w:val="single" w:sz="4" w:space="0" w:color="auto"/>
            </w:tcBorders>
            <w:vAlign w:val="center"/>
            <w:hideMark/>
          </w:tcPr>
          <w:p w14:paraId="5032AD38"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2C141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D0C5D0D"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25 рабочих дней с даты признания дебиторской задолженности</w:t>
            </w:r>
          </w:p>
        </w:tc>
      </w:tr>
      <w:tr w:rsidR="006D4131" w:rsidRPr="00A12F11" w14:paraId="570FB580" w14:textId="77777777" w:rsidTr="00573A9D">
        <w:trPr>
          <w:trHeight w:val="265"/>
        </w:trPr>
        <w:tc>
          <w:tcPr>
            <w:tcW w:w="3544" w:type="dxa"/>
            <w:tcBorders>
              <w:top w:val="single" w:sz="4" w:space="0" w:color="auto"/>
              <w:left w:val="single" w:sz="4" w:space="0" w:color="auto"/>
              <w:bottom w:val="single" w:sz="4" w:space="0" w:color="auto"/>
              <w:right w:val="single" w:sz="4" w:space="0" w:color="auto"/>
            </w:tcBorders>
            <w:vAlign w:val="center"/>
            <w:hideMark/>
          </w:tcPr>
          <w:p w14:paraId="60AA8F34"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иностранных эмитентов, ETF</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44A6F2"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6C5385B"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стандартно - 25 рабочих дней с даты признания дебиторской задолженности</w:t>
            </w:r>
          </w:p>
        </w:tc>
      </w:tr>
      <w:tr w:rsidR="006D4131" w:rsidRPr="00A12F11" w14:paraId="74D6C2EF" w14:textId="77777777" w:rsidTr="00573A9D">
        <w:trPr>
          <w:trHeight w:val="278"/>
        </w:trPr>
        <w:tc>
          <w:tcPr>
            <w:tcW w:w="3544" w:type="dxa"/>
            <w:tcBorders>
              <w:top w:val="single" w:sz="4" w:space="0" w:color="auto"/>
              <w:left w:val="single" w:sz="4" w:space="0" w:color="auto"/>
              <w:bottom w:val="single" w:sz="4" w:space="0" w:color="auto"/>
              <w:right w:val="single" w:sz="4" w:space="0" w:color="auto"/>
            </w:tcBorders>
            <w:vAlign w:val="center"/>
            <w:hideMark/>
          </w:tcPr>
          <w:p w14:paraId="088B9BD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возврату  средств со счета брокера /со счета в НКЦ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70DA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103AB7E"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DD7CEEB" w14:textId="77777777" w:rsidTr="00573A9D">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348D412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2DDBBB3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6E013392" w14:textId="2A08C78A"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возникшая в результате перевода денежных средств (деньги в пути)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C4E80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01230B0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3F2465D8" w14:textId="7206922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065C157"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C2569BB"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6BA6BDC"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7263E868" w14:textId="6255F58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ACABDDC" w14:textId="77777777" w:rsidTr="00573A9D">
        <w:trPr>
          <w:trHeight w:val="1436"/>
        </w:trPr>
        <w:tc>
          <w:tcPr>
            <w:tcW w:w="3544" w:type="dxa"/>
            <w:tcBorders>
              <w:top w:val="single" w:sz="4" w:space="0" w:color="auto"/>
              <w:left w:val="single" w:sz="4" w:space="0" w:color="auto"/>
              <w:bottom w:val="single" w:sz="4" w:space="0" w:color="auto"/>
              <w:right w:val="single" w:sz="4" w:space="0" w:color="auto"/>
            </w:tcBorders>
            <w:vAlign w:val="center"/>
            <w:hideMark/>
          </w:tcPr>
          <w:p w14:paraId="5B2A185D"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аренде</w:t>
            </w:r>
          </w:p>
        </w:tc>
        <w:tc>
          <w:tcPr>
            <w:tcW w:w="2410" w:type="dxa"/>
            <w:tcBorders>
              <w:top w:val="single" w:sz="4" w:space="0" w:color="auto"/>
              <w:left w:val="single" w:sz="4" w:space="0" w:color="auto"/>
              <w:bottom w:val="single" w:sz="4" w:space="0" w:color="auto"/>
              <w:right w:val="single" w:sz="4" w:space="0" w:color="auto"/>
            </w:tcBorders>
            <w:noWrap/>
            <w:vAlign w:val="center"/>
          </w:tcPr>
          <w:p w14:paraId="7D2A2C6A" w14:textId="77777777" w:rsidR="006D4131" w:rsidRPr="00A12F11" w:rsidRDefault="006D4131" w:rsidP="00A12F11">
            <w:pPr>
              <w:spacing w:before="240" w:line="276" w:lineRule="auto"/>
              <w:rPr>
                <w:rFonts w:ascii="Times New Roman" w:eastAsia="Times New Roman" w:hAnsi="Times New Roman"/>
                <w:sz w:val="24"/>
                <w:szCs w:val="24"/>
              </w:rPr>
            </w:pPr>
            <w:r w:rsidRPr="00A12F11">
              <w:rPr>
                <w:rFonts w:ascii="Times New Roman" w:eastAsia="Times New Roman" w:hAnsi="Times New Roman"/>
                <w:sz w:val="24"/>
                <w:szCs w:val="24"/>
              </w:rPr>
              <w:t xml:space="preserve">Срок погашения задолженности не превышает </w:t>
            </w:r>
            <w:r w:rsidRPr="00A12F11">
              <w:rPr>
                <w:rFonts w:ascii="Times New Roman" w:eastAsia="Times New Roman" w:hAnsi="Times New Roman"/>
                <w:b/>
                <w:sz w:val="24"/>
                <w:szCs w:val="24"/>
              </w:rPr>
              <w:t>10 рабочих дней</w:t>
            </w:r>
            <w:r w:rsidRPr="00A12F11">
              <w:rPr>
                <w:rFonts w:ascii="Times New Roman" w:eastAsia="Times New Roman" w:hAnsi="Times New Roman"/>
                <w:sz w:val="24"/>
                <w:szCs w:val="24"/>
              </w:rPr>
              <w:t xml:space="preserve"> с даты окончания арендного периода</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55F6DEB6" w14:textId="77777777" w:rsidR="006D4131" w:rsidRPr="00A12F11" w:rsidRDefault="006D4131" w:rsidP="00A12F11">
            <w:pPr>
              <w:spacing w:before="240" w:line="276" w:lineRule="auto"/>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наступления срока исполнения обязательств, согласно условий договора</w:t>
            </w:r>
          </w:p>
        </w:tc>
      </w:tr>
      <w:tr w:rsidR="006D4131" w:rsidRPr="00A12F11" w14:paraId="375776A6" w14:textId="77777777" w:rsidTr="00573A9D">
        <w:trPr>
          <w:trHeight w:val="1174"/>
        </w:trPr>
        <w:tc>
          <w:tcPr>
            <w:tcW w:w="3544" w:type="dxa"/>
            <w:tcBorders>
              <w:top w:val="single" w:sz="4" w:space="0" w:color="auto"/>
              <w:left w:val="single" w:sz="4" w:space="0" w:color="auto"/>
              <w:bottom w:val="single" w:sz="4" w:space="0" w:color="auto"/>
              <w:right w:val="single" w:sz="4" w:space="0" w:color="auto"/>
            </w:tcBorders>
            <w:vAlign w:val="center"/>
            <w:hideMark/>
          </w:tcPr>
          <w:p w14:paraId="4EE2A7A4"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 xml:space="preserve">Дебиторская задолженность по начисленным </w:t>
            </w:r>
            <w:r w:rsidRPr="00A12F11">
              <w:rPr>
                <w:rFonts w:ascii="Times New Roman" w:eastAsia="Times New Roman" w:hAnsi="Times New Roman"/>
                <w:color w:val="000000"/>
                <w:sz w:val="24"/>
                <w:szCs w:val="24"/>
              </w:rPr>
              <w:t xml:space="preserve"> процентам на остаток денежных средств на  расчетном счете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68462F31"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78D6B3A"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sz w:val="24"/>
                <w:szCs w:val="24"/>
              </w:rPr>
              <w:t>обесценение производится с первого дня просрочки обязательств банком</w:t>
            </w:r>
          </w:p>
        </w:tc>
      </w:tr>
      <w:tr w:rsidR="006D4131" w:rsidRPr="00A12F11" w14:paraId="04568BD0" w14:textId="77777777" w:rsidTr="00573A9D">
        <w:trPr>
          <w:trHeight w:val="600"/>
        </w:trPr>
        <w:tc>
          <w:tcPr>
            <w:tcW w:w="3544" w:type="dxa"/>
            <w:tcBorders>
              <w:top w:val="single" w:sz="4" w:space="0" w:color="auto"/>
              <w:left w:val="single" w:sz="4" w:space="0" w:color="auto"/>
              <w:bottom w:val="single" w:sz="4" w:space="0" w:color="auto"/>
              <w:right w:val="single" w:sz="4" w:space="0" w:color="auto"/>
            </w:tcBorders>
            <w:vAlign w:val="center"/>
            <w:hideMark/>
          </w:tcPr>
          <w:p w14:paraId="316F8B55"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Дебиторская задолженность</w:t>
            </w:r>
            <w:r w:rsidRPr="00A12F11">
              <w:rPr>
                <w:rFonts w:ascii="Times New Roman" w:eastAsia="Times New Roman" w:hAnsi="Times New Roman"/>
                <w:color w:val="000000"/>
                <w:sz w:val="24"/>
                <w:szCs w:val="24"/>
              </w:rPr>
              <w:t xml:space="preserve"> по сделкам (по которым наступила наиболее ранняя дата расчетов)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F410B3B"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1D5897A0"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даты ее возникновения (с учетом 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ABD89A6"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3 рабочих дня</w:t>
            </w:r>
          </w:p>
        </w:tc>
      </w:tr>
      <w:tr w:rsidR="006D4131" w:rsidRPr="00A12F11" w14:paraId="0279E152" w14:textId="77777777" w:rsidTr="00573A9D">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073E4A43"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Авансы, выданные по сделкам за счет имущества Фонда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BB39972"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34129197" w14:textId="0EEFC1BC" w:rsidR="006D4131" w:rsidRPr="00A12F11" w:rsidRDefault="006D413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даты ее возникновения (с учетом</w:t>
            </w:r>
            <w:r w:rsidR="00B96CB1" w:rsidRPr="00A12F11">
              <w:rPr>
                <w:rFonts w:ascii="Times New Roman" w:eastAsia="Times New Roman" w:hAnsi="Times New Roman"/>
                <w:color w:val="000000"/>
                <w:sz w:val="24"/>
                <w:szCs w:val="24"/>
              </w:rPr>
              <w:t xml:space="preserve"> </w:t>
            </w:r>
            <w:r w:rsidRPr="00A12F11">
              <w:rPr>
                <w:rFonts w:ascii="Times New Roman" w:eastAsia="Times New Roman" w:hAnsi="Times New Roman"/>
                <w:color w:val="000000"/>
                <w:sz w:val="24"/>
                <w:szCs w:val="24"/>
              </w:rPr>
              <w:t>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47682C57"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3 рабочих дня</w:t>
            </w:r>
          </w:p>
        </w:tc>
      </w:tr>
    </w:tbl>
    <w:p w14:paraId="766A7EA6" w14:textId="77777777" w:rsidR="006D4131" w:rsidRPr="00A12F11" w:rsidRDefault="006D413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Особые условия, применяемые для оценки и обесценения дебиторской задолженности, не указанной в таблице выше:</w:t>
      </w:r>
    </w:p>
    <w:p w14:paraId="6E8994E5" w14:textId="4CCF259A" w:rsidR="006D4131" w:rsidRPr="00A12F11" w:rsidRDefault="006D4131" w:rsidP="00A12F11">
      <w:pPr>
        <w:pStyle w:val="ac"/>
        <w:numPr>
          <w:ilvl w:val="0"/>
          <w:numId w:val="67"/>
        </w:numPr>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окончания срока оказания услуг, установленной условиями договора;</w:t>
      </w:r>
    </w:p>
    <w:p w14:paraId="55B8CC2C" w14:textId="1A0F3477" w:rsidR="000426C3" w:rsidRPr="00A12F11" w:rsidRDefault="006D4131" w:rsidP="00A12F11">
      <w:pPr>
        <w:pStyle w:val="ac"/>
        <w:numPr>
          <w:ilvl w:val="0"/>
          <w:numId w:val="6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ее возникновения.</w:t>
      </w:r>
    </w:p>
    <w:p w14:paraId="2F1D8340" w14:textId="77777777" w:rsidR="00171C2F"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Обесценение указанной дебиторской задолженности не производится при соблюдении следующих условий: </w:t>
      </w:r>
    </w:p>
    <w:p w14:paraId="5A944302" w14:textId="7C8901F8" w:rsidR="006D4131" w:rsidRPr="00A12F11" w:rsidRDefault="006D4131"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Times New Roman" w:hAnsi="Times New Roman" w:cs="Times New Roman"/>
          <w:sz w:val="24"/>
          <w:szCs w:val="24"/>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04DB788D" w14:textId="77777777" w:rsidR="006D4131" w:rsidRPr="00A12F11" w:rsidRDefault="006D4131" w:rsidP="00A12F11">
      <w:pPr>
        <w:pStyle w:val="ac"/>
        <w:numPr>
          <w:ilvl w:val="0"/>
          <w:numId w:val="68"/>
        </w:num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наличие документального подтверждения от контрагента  сроков погашения задолженности / оказания услуг ПИФ.</w:t>
      </w:r>
    </w:p>
    <w:p w14:paraId="72AC5E02" w14:textId="77777777" w:rsidR="006D4131"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6EBB2D24" w14:textId="42AC94A2" w:rsidR="00573A9D" w:rsidRDefault="00573A9D" w:rsidP="00A12F11">
      <w:pPr>
        <w:spacing w:before="240" w:line="276" w:lineRule="auto"/>
        <w:jc w:val="right"/>
        <w:rPr>
          <w:rFonts w:ascii="Times New Roman" w:hAnsi="Times New Roman" w:cs="Times New Roman"/>
          <w:b/>
          <w:sz w:val="24"/>
          <w:szCs w:val="24"/>
        </w:rPr>
      </w:pPr>
    </w:p>
    <w:p w14:paraId="7DF97B44" w14:textId="77777777" w:rsidR="004C3F80" w:rsidRDefault="004C3F80" w:rsidP="00A12F11">
      <w:pPr>
        <w:spacing w:before="240" w:line="276" w:lineRule="auto"/>
        <w:jc w:val="right"/>
        <w:rPr>
          <w:rFonts w:ascii="Times New Roman" w:hAnsi="Times New Roman" w:cs="Times New Roman"/>
          <w:b/>
          <w:sz w:val="24"/>
          <w:szCs w:val="24"/>
        </w:rPr>
      </w:pPr>
    </w:p>
    <w:p w14:paraId="3E5EBC35" w14:textId="77777777" w:rsidR="004C3F80" w:rsidRDefault="004C3F80" w:rsidP="00A12F11">
      <w:pPr>
        <w:spacing w:before="240" w:line="276" w:lineRule="auto"/>
        <w:jc w:val="right"/>
        <w:rPr>
          <w:rFonts w:ascii="Times New Roman" w:hAnsi="Times New Roman" w:cs="Times New Roman"/>
          <w:b/>
          <w:sz w:val="24"/>
          <w:szCs w:val="24"/>
        </w:rPr>
      </w:pPr>
    </w:p>
    <w:p w14:paraId="316A0DDF" w14:textId="77777777" w:rsidR="004C3F80" w:rsidRDefault="004C3F80" w:rsidP="00A12F11">
      <w:pPr>
        <w:spacing w:before="240" w:line="276" w:lineRule="auto"/>
        <w:jc w:val="right"/>
        <w:rPr>
          <w:rFonts w:ascii="Times New Roman" w:hAnsi="Times New Roman" w:cs="Times New Roman"/>
          <w:b/>
          <w:sz w:val="24"/>
          <w:szCs w:val="24"/>
        </w:rPr>
      </w:pPr>
    </w:p>
    <w:p w14:paraId="21B55F9B" w14:textId="77777777" w:rsidR="004C3F80" w:rsidRDefault="004C3F80" w:rsidP="00A12F11">
      <w:pPr>
        <w:spacing w:before="240" w:line="276" w:lineRule="auto"/>
        <w:jc w:val="right"/>
        <w:rPr>
          <w:rFonts w:ascii="Times New Roman" w:hAnsi="Times New Roman" w:cs="Times New Roman"/>
          <w:b/>
          <w:sz w:val="24"/>
          <w:szCs w:val="24"/>
        </w:rPr>
      </w:pPr>
    </w:p>
    <w:p w14:paraId="0E0A2883" w14:textId="77777777" w:rsidR="004C3F80" w:rsidRDefault="004C3F80" w:rsidP="00A12F11">
      <w:pPr>
        <w:spacing w:before="240" w:line="276" w:lineRule="auto"/>
        <w:jc w:val="right"/>
        <w:rPr>
          <w:rFonts w:ascii="Times New Roman" w:hAnsi="Times New Roman" w:cs="Times New Roman"/>
          <w:b/>
          <w:sz w:val="24"/>
          <w:szCs w:val="24"/>
        </w:rPr>
      </w:pPr>
    </w:p>
    <w:p w14:paraId="1F5B0D72" w14:textId="77777777" w:rsidR="004C3F80" w:rsidRDefault="004C3F80" w:rsidP="00A12F11">
      <w:pPr>
        <w:spacing w:before="240" w:line="276" w:lineRule="auto"/>
        <w:jc w:val="right"/>
        <w:rPr>
          <w:rFonts w:ascii="Times New Roman" w:hAnsi="Times New Roman" w:cs="Times New Roman"/>
          <w:b/>
          <w:sz w:val="24"/>
          <w:szCs w:val="24"/>
        </w:rPr>
      </w:pPr>
    </w:p>
    <w:p w14:paraId="6D75DA97" w14:textId="77777777" w:rsidR="004C3F80" w:rsidRDefault="004C3F80" w:rsidP="00A12F11">
      <w:pPr>
        <w:spacing w:before="240" w:line="276" w:lineRule="auto"/>
        <w:jc w:val="right"/>
        <w:rPr>
          <w:rFonts w:ascii="Times New Roman" w:hAnsi="Times New Roman" w:cs="Times New Roman"/>
          <w:b/>
          <w:sz w:val="24"/>
          <w:szCs w:val="24"/>
        </w:rPr>
      </w:pPr>
    </w:p>
    <w:p w14:paraId="0ABE20BB" w14:textId="031F93CD" w:rsidR="001D77FA" w:rsidRPr="00A12F11" w:rsidRDefault="001D77FA" w:rsidP="00A12F11">
      <w:pPr>
        <w:spacing w:before="240" w:line="276" w:lineRule="auto"/>
        <w:jc w:val="right"/>
        <w:rPr>
          <w:rFonts w:ascii="Times New Roman" w:hAnsi="Times New Roman" w:cs="Times New Roman"/>
          <w:b/>
          <w:sz w:val="24"/>
          <w:szCs w:val="24"/>
        </w:rPr>
      </w:pPr>
      <w:r w:rsidRPr="00A12F11">
        <w:rPr>
          <w:rFonts w:ascii="Times New Roman" w:hAnsi="Times New Roman" w:cs="Times New Roman"/>
          <w:b/>
          <w:sz w:val="24"/>
          <w:szCs w:val="24"/>
        </w:rPr>
        <w:t>П</w:t>
      </w:r>
      <w:r w:rsidR="006D4131" w:rsidRPr="00A12F11">
        <w:rPr>
          <w:rFonts w:ascii="Times New Roman" w:hAnsi="Times New Roman" w:cs="Times New Roman"/>
          <w:b/>
          <w:sz w:val="24"/>
          <w:szCs w:val="24"/>
        </w:rPr>
        <w:t>риложение 7</w:t>
      </w:r>
    </w:p>
    <w:p w14:paraId="0216BEF5" w14:textId="77777777" w:rsidR="00722C11" w:rsidRPr="00A12F11" w:rsidRDefault="00722C11" w:rsidP="00A12F11">
      <w:pPr>
        <w:pStyle w:val="ac"/>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КРЕДИТОРСКАЯ ЗАДОЛЖЕННОСТЬ</w:t>
      </w:r>
    </w:p>
    <w:tbl>
      <w:tblPr>
        <w:tblStyle w:val="af3"/>
        <w:tblpPr w:leftFromText="180" w:rightFromText="180" w:vertAnchor="text" w:horzAnchor="page" w:tblpX="508" w:tblpY="601"/>
        <w:tblW w:w="11052" w:type="dxa"/>
        <w:tblLayout w:type="fixed"/>
        <w:tblLook w:val="04A0" w:firstRow="1" w:lastRow="0" w:firstColumn="1" w:lastColumn="0" w:noHBand="0" w:noVBand="1"/>
      </w:tblPr>
      <w:tblGrid>
        <w:gridCol w:w="2984"/>
        <w:gridCol w:w="2398"/>
        <w:gridCol w:w="2126"/>
        <w:gridCol w:w="3544"/>
      </w:tblGrid>
      <w:tr w:rsidR="00722C11" w:rsidRPr="00A12F11" w14:paraId="15624E48" w14:textId="77777777" w:rsidTr="00573A9D">
        <w:tc>
          <w:tcPr>
            <w:tcW w:w="2984" w:type="dxa"/>
            <w:shd w:val="clear" w:color="auto" w:fill="A6A6A6" w:themeFill="background1" w:themeFillShade="A6"/>
            <w:vAlign w:val="center"/>
          </w:tcPr>
          <w:p w14:paraId="3DA86A09"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Виды обязательств</w:t>
            </w:r>
          </w:p>
        </w:tc>
        <w:tc>
          <w:tcPr>
            <w:tcW w:w="2398" w:type="dxa"/>
            <w:shd w:val="clear" w:color="auto" w:fill="A6A6A6" w:themeFill="background1" w:themeFillShade="A6"/>
            <w:vAlign w:val="center"/>
          </w:tcPr>
          <w:p w14:paraId="00F8BB7C"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Критерии признания</w:t>
            </w:r>
          </w:p>
        </w:tc>
        <w:tc>
          <w:tcPr>
            <w:tcW w:w="2126" w:type="dxa"/>
            <w:shd w:val="clear" w:color="auto" w:fill="A6A6A6" w:themeFill="background1" w:themeFillShade="A6"/>
            <w:vAlign w:val="center"/>
          </w:tcPr>
          <w:p w14:paraId="613D30DA"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Критерии прекращения признания</w:t>
            </w:r>
          </w:p>
        </w:tc>
        <w:tc>
          <w:tcPr>
            <w:tcW w:w="3544" w:type="dxa"/>
            <w:shd w:val="clear" w:color="auto" w:fill="A6A6A6" w:themeFill="background1" w:themeFillShade="A6"/>
          </w:tcPr>
          <w:p w14:paraId="03880CDE" w14:textId="77777777" w:rsidR="00722C11" w:rsidRPr="00A12F11" w:rsidRDefault="00722C11" w:rsidP="00A12F11">
            <w:pPr>
              <w:pStyle w:val="ac"/>
              <w:tabs>
                <w:tab w:val="left" w:pos="1124"/>
              </w:tabs>
              <w:spacing w:before="240" w:line="276" w:lineRule="auto"/>
              <w:ind w:left="36" w:hanging="568"/>
              <w:contextualSpacing w:val="0"/>
              <w:rPr>
                <w:rFonts w:ascii="Times New Roman" w:hAnsi="Times New Roman"/>
                <w:b/>
                <w:sz w:val="24"/>
                <w:szCs w:val="24"/>
              </w:rPr>
            </w:pPr>
            <w:r w:rsidRPr="00A12F11">
              <w:rPr>
                <w:rFonts w:ascii="Times New Roman" w:hAnsi="Times New Roman"/>
                <w:b/>
                <w:sz w:val="24"/>
                <w:szCs w:val="24"/>
              </w:rPr>
              <w:t>Справедливая стоимость</w:t>
            </w:r>
          </w:p>
        </w:tc>
      </w:tr>
      <w:tr w:rsidR="0088150F" w:rsidRPr="00A12F11" w14:paraId="0C0974D3" w14:textId="77777777" w:rsidTr="00573A9D">
        <w:tc>
          <w:tcPr>
            <w:tcW w:w="2984" w:type="dxa"/>
          </w:tcPr>
          <w:p w14:paraId="7761EB62" w14:textId="77777777" w:rsidR="00722C11" w:rsidRPr="00A12F11" w:rsidRDefault="00722C11" w:rsidP="00573A9D">
            <w:pPr>
              <w:ind w:left="426" w:hanging="426"/>
              <w:rPr>
                <w:rFonts w:ascii="Times New Roman" w:hAnsi="Times New Roman"/>
                <w:sz w:val="24"/>
                <w:szCs w:val="24"/>
              </w:rPr>
            </w:pPr>
            <w:r w:rsidRPr="00A12F11">
              <w:rPr>
                <w:rFonts w:ascii="Times New Roman" w:hAnsi="Times New Roman"/>
                <w:bCs/>
                <w:sz w:val="24"/>
                <w:szCs w:val="24"/>
              </w:rPr>
              <w:t>Кредиторская задолженность по сделкам купли-продажи имущества паевого инвестиционного фонда</w:t>
            </w:r>
            <w:r w:rsidRPr="00A12F11">
              <w:rPr>
                <w:rFonts w:ascii="Times New Roman" w:hAnsi="Times New Roman"/>
                <w:sz w:val="24"/>
                <w:szCs w:val="24"/>
              </w:rPr>
              <w:t>.</w:t>
            </w:r>
          </w:p>
        </w:tc>
        <w:tc>
          <w:tcPr>
            <w:tcW w:w="2398" w:type="dxa"/>
          </w:tcPr>
          <w:p w14:paraId="028FF688"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перехода  к ПИФ права собственности на имущество /поступление денежных средств на банковский/брокерский счет ПИФ от кредитора.</w:t>
            </w:r>
          </w:p>
        </w:tc>
        <w:tc>
          <w:tcPr>
            <w:tcW w:w="2126" w:type="dxa"/>
          </w:tcPr>
          <w:p w14:paraId="67F1707B"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исполнения обязательств ПИФ по договору.</w:t>
            </w:r>
          </w:p>
        </w:tc>
        <w:tc>
          <w:tcPr>
            <w:tcW w:w="3544" w:type="dxa"/>
          </w:tcPr>
          <w:p w14:paraId="287CA860"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2626C7" w:rsidRPr="00A12F11">
              <w:rPr>
                <w:rFonts w:ascii="Times New Roman" w:hAnsi="Times New Roman"/>
                <w:bCs/>
                <w:sz w:val="24"/>
                <w:szCs w:val="24"/>
              </w:rPr>
              <w:t xml:space="preserve"> </w:t>
            </w:r>
          </w:p>
          <w:p w14:paraId="278F8128"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включается в расчет СЧА в размере её остатка</w:t>
            </w:r>
          </w:p>
          <w:p w14:paraId="34751DEA" w14:textId="51543C06" w:rsidR="00722C11"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на дату определения СЧА. Не дисконтируется.</w:t>
            </w:r>
          </w:p>
        </w:tc>
      </w:tr>
      <w:tr w:rsidR="0088150F" w:rsidRPr="00A12F11" w14:paraId="76DEF6AE" w14:textId="77777777" w:rsidTr="00573A9D">
        <w:tc>
          <w:tcPr>
            <w:tcW w:w="2984" w:type="dxa"/>
          </w:tcPr>
          <w:p w14:paraId="61D37BD2" w14:textId="77777777" w:rsidR="00722C11" w:rsidRPr="00A12F11" w:rsidRDefault="00722C11" w:rsidP="00573A9D">
            <w:pPr>
              <w:pStyle w:val="ac"/>
              <w:ind w:left="426" w:hanging="426"/>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выдаче/обмену инвестиционных паев.</w:t>
            </w:r>
          </w:p>
        </w:tc>
        <w:tc>
          <w:tcPr>
            <w:tcW w:w="2398" w:type="dxa"/>
          </w:tcPr>
          <w:p w14:paraId="094217D6"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включения денежных средств (иного имущества), переданных в оплату инвестиционных паев, в имущество ПИФ.</w:t>
            </w:r>
          </w:p>
        </w:tc>
        <w:tc>
          <w:tcPr>
            <w:tcW w:w="2126" w:type="dxa"/>
          </w:tcPr>
          <w:p w14:paraId="47991979" w14:textId="77777777" w:rsidR="00722C11" w:rsidRPr="00A12F11" w:rsidRDefault="00722C11" w:rsidP="00573A9D">
            <w:pPr>
              <w:pStyle w:val="ac"/>
              <w:numPr>
                <w:ilvl w:val="0"/>
                <w:numId w:val="22"/>
              </w:numPr>
              <w:ind w:left="426" w:hanging="426"/>
              <w:contextualSpacing w:val="0"/>
              <w:jc w:val="center"/>
              <w:rPr>
                <w:rFonts w:ascii="Times New Roman" w:hAnsi="Times New Roman"/>
                <w:bCs/>
                <w:sz w:val="24"/>
                <w:szCs w:val="24"/>
              </w:rPr>
            </w:pPr>
            <w:r w:rsidRPr="00A12F11">
              <w:rPr>
                <w:rFonts w:ascii="Times New Roman" w:hAnsi="Times New Roman"/>
                <w:bCs/>
                <w:sz w:val="24"/>
                <w:szCs w:val="24"/>
              </w:rPr>
              <w:t>Дата внесения приходной записи о выдаче инвестиционных паев.</w:t>
            </w:r>
          </w:p>
        </w:tc>
        <w:tc>
          <w:tcPr>
            <w:tcW w:w="3544" w:type="dxa"/>
          </w:tcPr>
          <w:p w14:paraId="67E1A559" w14:textId="5A25038E"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573A9D">
              <w:rPr>
                <w:rFonts w:ascii="Times New Roman" w:hAnsi="Times New Roman"/>
                <w:bCs/>
                <w:sz w:val="24"/>
                <w:szCs w:val="24"/>
              </w:rPr>
              <w:t xml:space="preserve"> </w:t>
            </w:r>
            <w:r w:rsidRPr="00A12F11">
              <w:rPr>
                <w:rFonts w:ascii="Times New Roman" w:hAnsi="Times New Roman"/>
                <w:bCs/>
                <w:sz w:val="24"/>
                <w:szCs w:val="24"/>
              </w:rPr>
              <w:t>включается в расчет СЧА в размере её остатка</w:t>
            </w:r>
            <w:r w:rsidR="00573A9D">
              <w:rPr>
                <w:rFonts w:ascii="Times New Roman" w:hAnsi="Times New Roman"/>
                <w:bCs/>
                <w:sz w:val="24"/>
                <w:szCs w:val="24"/>
              </w:rPr>
              <w:t xml:space="preserve"> на дату определения СЧА. Не дисконтируется.</w:t>
            </w:r>
          </w:p>
          <w:p w14:paraId="577321A7" w14:textId="590638CC" w:rsidR="00722C11" w:rsidRPr="00A12F11" w:rsidRDefault="00722C11" w:rsidP="00573A9D">
            <w:pPr>
              <w:pStyle w:val="ac"/>
              <w:spacing w:line="276" w:lineRule="auto"/>
              <w:ind w:left="0" w:right="4145"/>
              <w:contextualSpacing w:val="0"/>
              <w:rPr>
                <w:rFonts w:ascii="Times New Roman" w:hAnsi="Times New Roman"/>
                <w:bCs/>
                <w:sz w:val="24"/>
                <w:szCs w:val="24"/>
              </w:rPr>
            </w:pPr>
            <w:r w:rsidRPr="00A12F11">
              <w:rPr>
                <w:rFonts w:ascii="Times New Roman" w:hAnsi="Times New Roman"/>
                <w:bCs/>
                <w:sz w:val="24"/>
                <w:szCs w:val="24"/>
              </w:rPr>
              <w:t xml:space="preserve"> </w:t>
            </w:r>
          </w:p>
        </w:tc>
      </w:tr>
      <w:tr w:rsidR="0088150F" w:rsidRPr="00A12F11" w14:paraId="3186EF54" w14:textId="77777777" w:rsidTr="00573A9D">
        <w:tc>
          <w:tcPr>
            <w:tcW w:w="2984" w:type="dxa"/>
          </w:tcPr>
          <w:p w14:paraId="62AA6A71" w14:textId="77777777" w:rsidR="00722C11" w:rsidRPr="00A12F11" w:rsidRDefault="00722C11" w:rsidP="00573A9D">
            <w:pPr>
              <w:pStyle w:val="ac"/>
              <w:ind w:left="426" w:hanging="426"/>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выплате денежной компенсации при погашении инвестиционных паев/ по передаче имущества (перечислению денежных средств) при обмене инвестиционных паев</w:t>
            </w:r>
          </w:p>
        </w:tc>
        <w:tc>
          <w:tcPr>
            <w:tcW w:w="2398" w:type="dxa"/>
          </w:tcPr>
          <w:p w14:paraId="3EC26D5B"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внесения расходной записи о погашении (списании при обмене) инвестиционных паев.</w:t>
            </w:r>
          </w:p>
        </w:tc>
        <w:tc>
          <w:tcPr>
            <w:tcW w:w="2126" w:type="dxa"/>
          </w:tcPr>
          <w:p w14:paraId="43EA2303"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выплаты суммы денежной компенсации  согласно банковской выписке/ передачи имущества (списания денежных средств) при обмене инвестиционных паев согласно депозитарному отчёту (банковской выписке).</w:t>
            </w:r>
          </w:p>
        </w:tc>
        <w:tc>
          <w:tcPr>
            <w:tcW w:w="3544" w:type="dxa"/>
          </w:tcPr>
          <w:p w14:paraId="084DF399" w14:textId="351264E9"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 в расчет СЧА в размере её остатка на дату определения СЧА. Не дисконтируется.</w:t>
            </w:r>
          </w:p>
        </w:tc>
      </w:tr>
      <w:tr w:rsidR="0088150F" w:rsidRPr="00A12F11" w14:paraId="419D28D1" w14:textId="77777777" w:rsidTr="00573A9D">
        <w:tc>
          <w:tcPr>
            <w:tcW w:w="2984" w:type="dxa"/>
          </w:tcPr>
          <w:p w14:paraId="20982C94"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2398" w:type="dxa"/>
          </w:tcPr>
          <w:p w14:paraId="08F2F30D"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получения денежных средств от управляющей компании согласно банковской выписке.</w:t>
            </w:r>
          </w:p>
        </w:tc>
        <w:tc>
          <w:tcPr>
            <w:tcW w:w="2126" w:type="dxa"/>
          </w:tcPr>
          <w:p w14:paraId="6B62DF8F"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возврата суммы задолженности перед управляющей компанией согласно банковской выписке.</w:t>
            </w:r>
          </w:p>
        </w:tc>
        <w:tc>
          <w:tcPr>
            <w:tcW w:w="3544" w:type="dxa"/>
          </w:tcPr>
          <w:p w14:paraId="70EE3CB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Справедливая стоимость обязательства  включается </w:t>
            </w:r>
          </w:p>
          <w:p w14:paraId="6078A2F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4B2766BC" w14:textId="7E9CCD3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определения СЧА. Не дисконтируется.</w:t>
            </w:r>
          </w:p>
        </w:tc>
      </w:tr>
      <w:tr w:rsidR="0088150F" w:rsidRPr="00A12F11" w14:paraId="51DAD4AC" w14:textId="77777777" w:rsidTr="00573A9D">
        <w:tc>
          <w:tcPr>
            <w:tcW w:w="2984" w:type="dxa"/>
          </w:tcPr>
          <w:p w14:paraId="4533B0B1"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уплате налогов и других обязательных платежей за счет имущества паевого инвестиционного фонда.</w:t>
            </w:r>
          </w:p>
        </w:tc>
        <w:tc>
          <w:tcPr>
            <w:tcW w:w="2398" w:type="dxa"/>
          </w:tcPr>
          <w:p w14:paraId="6B0E5D2D"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определения СЧА</w:t>
            </w:r>
          </w:p>
          <w:p w14:paraId="21197040"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обязательства по уплате земельного налога, налога на имущество, НДС, обязательного платежа согласно нормативным правовым актам Российской Федерации и (или) договору.</w:t>
            </w:r>
          </w:p>
          <w:p w14:paraId="179B6F96" w14:textId="1AF5AFB2" w:rsidR="00722C11" w:rsidRPr="00573A9D" w:rsidRDefault="00722C11" w:rsidP="00573A9D">
            <w:pPr>
              <w:pStyle w:val="ac"/>
              <w:numPr>
                <w:ilvl w:val="0"/>
                <w:numId w:val="22"/>
              </w:numPr>
              <w:ind w:left="451" w:hanging="426"/>
              <w:contextualSpacing w:val="0"/>
              <w:rPr>
                <w:rFonts w:ascii="Times New Roman" w:hAnsi="Times New Roman"/>
                <w:bCs/>
                <w:sz w:val="24"/>
                <w:szCs w:val="24"/>
              </w:rPr>
            </w:pPr>
            <w:r w:rsidRPr="00A12F11">
              <w:rPr>
                <w:rFonts w:ascii="Times New Roman" w:hAnsi="Times New Roman"/>
                <w:bCs/>
                <w:sz w:val="24"/>
                <w:szCs w:val="24"/>
              </w:rPr>
              <w:t>Для НДФЛ дата</w:t>
            </w:r>
            <w:r w:rsidR="00573A9D">
              <w:rPr>
                <w:rFonts w:ascii="Times New Roman" w:hAnsi="Times New Roman"/>
                <w:bCs/>
                <w:sz w:val="24"/>
                <w:szCs w:val="24"/>
              </w:rPr>
              <w:t xml:space="preserve"> </w:t>
            </w:r>
            <w:r w:rsidRPr="00A12F11">
              <w:rPr>
                <w:rFonts w:ascii="Times New Roman" w:hAnsi="Times New Roman"/>
                <w:bCs/>
                <w:sz w:val="24"/>
                <w:szCs w:val="24"/>
              </w:rPr>
              <w:t xml:space="preserve">выплаты суммы </w:t>
            </w:r>
            <w:r w:rsidRPr="00573A9D">
              <w:rPr>
                <w:rFonts w:ascii="Times New Roman" w:hAnsi="Times New Roman"/>
                <w:bCs/>
                <w:sz w:val="24"/>
                <w:szCs w:val="24"/>
              </w:rPr>
              <w:t xml:space="preserve">      денежной компенсации за</w:t>
            </w:r>
          </w:p>
          <w:p w14:paraId="41149A4B" w14:textId="61F4F2B0" w:rsidR="00722C11" w:rsidRPr="00573A9D" w:rsidRDefault="00722C11" w:rsidP="00573A9D">
            <w:pPr>
              <w:ind w:left="451"/>
              <w:rPr>
                <w:rFonts w:ascii="Times New Roman" w:hAnsi="Times New Roman"/>
                <w:bCs/>
                <w:sz w:val="24"/>
                <w:szCs w:val="24"/>
              </w:rPr>
            </w:pPr>
            <w:r w:rsidRPr="00573A9D">
              <w:rPr>
                <w:rFonts w:ascii="Times New Roman" w:hAnsi="Times New Roman"/>
                <w:bCs/>
                <w:sz w:val="24"/>
                <w:szCs w:val="24"/>
              </w:rPr>
              <w:t>инвестиционные паи / дохода по</w:t>
            </w:r>
          </w:p>
          <w:p w14:paraId="4E70100E" w14:textId="1E291DED" w:rsidR="00722C11" w:rsidRPr="00573A9D" w:rsidRDefault="00722C11" w:rsidP="00573A9D">
            <w:pPr>
              <w:rPr>
                <w:rFonts w:ascii="Times New Roman" w:hAnsi="Times New Roman"/>
                <w:bCs/>
                <w:sz w:val="24"/>
                <w:szCs w:val="24"/>
              </w:rPr>
            </w:pPr>
            <w:r w:rsidRPr="00573A9D">
              <w:rPr>
                <w:rFonts w:ascii="Times New Roman" w:hAnsi="Times New Roman"/>
                <w:bCs/>
                <w:sz w:val="24"/>
                <w:szCs w:val="24"/>
              </w:rPr>
              <w:t>инвестиционным паям согласно</w:t>
            </w:r>
          </w:p>
          <w:p w14:paraId="3C24B6A3" w14:textId="2A6DCB84" w:rsidR="00722C11" w:rsidRPr="00573A9D" w:rsidRDefault="00722C11" w:rsidP="00573A9D">
            <w:pPr>
              <w:rPr>
                <w:rFonts w:ascii="Times New Roman" w:hAnsi="Times New Roman"/>
                <w:bCs/>
                <w:sz w:val="24"/>
                <w:szCs w:val="24"/>
              </w:rPr>
            </w:pPr>
            <w:r w:rsidRPr="00573A9D">
              <w:rPr>
                <w:rFonts w:ascii="Times New Roman" w:hAnsi="Times New Roman"/>
                <w:bCs/>
                <w:sz w:val="24"/>
                <w:szCs w:val="24"/>
              </w:rPr>
              <w:t>банковской выписке.</w:t>
            </w:r>
          </w:p>
        </w:tc>
        <w:tc>
          <w:tcPr>
            <w:tcW w:w="2126" w:type="dxa"/>
          </w:tcPr>
          <w:p w14:paraId="677F64FA"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налогов (обязательных платежей) с банковского счета согласно банковской выписке.</w:t>
            </w:r>
          </w:p>
        </w:tc>
        <w:tc>
          <w:tcPr>
            <w:tcW w:w="3544" w:type="dxa"/>
          </w:tcPr>
          <w:p w14:paraId="3EDE4AAA"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55361B27"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Методы определения справедливой стоимости </w:t>
            </w:r>
          </w:p>
          <w:p w14:paraId="379C652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могут содержать, в частности, способы </w:t>
            </w:r>
          </w:p>
          <w:p w14:paraId="3591338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BADCFC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1D51BBE4" w14:textId="1E7222CD"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39BE8F58"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0805E46D"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0CCCE445"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 о</w:t>
            </w:r>
          </w:p>
          <w:p w14:paraId="63A1D0F9" w14:textId="077E2137"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пределения СЧА. Не дисконтируется.</w:t>
            </w:r>
          </w:p>
        </w:tc>
      </w:tr>
      <w:tr w:rsidR="0088150F" w:rsidRPr="00A12F11" w14:paraId="7FA94A5E" w14:textId="77777777" w:rsidTr="00573A9D">
        <w:tc>
          <w:tcPr>
            <w:tcW w:w="2984" w:type="dxa"/>
          </w:tcPr>
          <w:p w14:paraId="531D99C2"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вознаграждениям управляющей компании, специализированному депозитарию, аудиторской организации, оценщику</w:t>
            </w:r>
            <w:r w:rsidRPr="00A12F11">
              <w:rPr>
                <w:rFonts w:ascii="Times New Roman" w:hAnsi="Times New Roman"/>
                <w:bCs/>
                <w:i/>
                <w:sz w:val="24"/>
                <w:szCs w:val="24"/>
              </w:rPr>
              <w:t>,</w:t>
            </w:r>
            <w:r w:rsidRPr="00A12F11">
              <w:rPr>
                <w:rFonts w:ascii="Times New Roman" w:hAnsi="Times New Roman"/>
                <w:bCs/>
                <w:sz w:val="24"/>
                <w:szCs w:val="24"/>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2398" w:type="dxa"/>
          </w:tcPr>
          <w:p w14:paraId="31A0880F"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 xml:space="preserve">Дата определения СЧА    </w:t>
            </w:r>
          </w:p>
          <w:p w14:paraId="76908675"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21831CA2"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3DEE3C82"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p>
        </w:tc>
        <w:tc>
          <w:tcPr>
            <w:tcW w:w="2126" w:type="dxa"/>
          </w:tcPr>
          <w:p w14:paraId="77940FE7"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вознаграждений и расходов с банковского счета согласно банковской выписке.</w:t>
            </w:r>
          </w:p>
        </w:tc>
        <w:tc>
          <w:tcPr>
            <w:tcW w:w="3544" w:type="dxa"/>
          </w:tcPr>
          <w:p w14:paraId="4BAAE69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0341A50A"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должны содержать, способы аппроксимации</w:t>
            </w:r>
          </w:p>
          <w:p w14:paraId="4B177642"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величины обязательств  при отсутствии информации</w:t>
            </w:r>
          </w:p>
          <w:p w14:paraId="21D30BF3"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 точной сумме будущих платежей на дату </w:t>
            </w:r>
          </w:p>
          <w:p w14:paraId="06331878" w14:textId="5E208D21"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расчета СЧА.</w:t>
            </w:r>
          </w:p>
          <w:p w14:paraId="596126F0"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Справедливая стоимость обязательства  включается </w:t>
            </w:r>
          </w:p>
          <w:p w14:paraId="7EBC77D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713E5755" w14:textId="7F1FB70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определения СЧА. Не дисконтируется.</w:t>
            </w:r>
          </w:p>
        </w:tc>
      </w:tr>
      <w:tr w:rsidR="0088150F" w:rsidRPr="00A12F11" w14:paraId="1CB4881C" w14:textId="77777777" w:rsidTr="00573A9D">
        <w:trPr>
          <w:trHeight w:val="983"/>
        </w:trPr>
        <w:tc>
          <w:tcPr>
            <w:tcW w:w="2984" w:type="dxa"/>
            <w:shd w:val="clear" w:color="auto" w:fill="auto"/>
          </w:tcPr>
          <w:p w14:paraId="1C96E6F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договорам аренды, когда арендатором является паевой инвестиционный фонд.</w:t>
            </w:r>
          </w:p>
        </w:tc>
        <w:tc>
          <w:tcPr>
            <w:tcW w:w="2398" w:type="dxa"/>
            <w:shd w:val="clear" w:color="auto" w:fill="auto"/>
          </w:tcPr>
          <w:p w14:paraId="64278472" w14:textId="77777777" w:rsidR="00722C11" w:rsidRPr="00A12F11" w:rsidRDefault="00722C11" w:rsidP="00573A9D">
            <w:pPr>
              <w:pStyle w:val="ac"/>
              <w:numPr>
                <w:ilvl w:val="0"/>
                <w:numId w:val="23"/>
              </w:numPr>
              <w:ind w:left="426" w:hanging="426"/>
              <w:rPr>
                <w:rFonts w:ascii="Times New Roman" w:hAnsi="Times New Roman"/>
                <w:bCs/>
                <w:sz w:val="24"/>
                <w:szCs w:val="24"/>
              </w:rPr>
            </w:pPr>
            <w:r w:rsidRPr="00A12F11">
              <w:rPr>
                <w:rFonts w:ascii="Times New Roman" w:hAnsi="Times New Roman"/>
                <w:bCs/>
                <w:sz w:val="24"/>
                <w:szCs w:val="24"/>
              </w:rPr>
              <w:t>Дата определения СЧА</w:t>
            </w:r>
          </w:p>
          <w:p w14:paraId="5B10E6C6" w14:textId="77777777" w:rsidR="00722C11" w:rsidRPr="00A12F11" w:rsidRDefault="00722C11" w:rsidP="00573A9D">
            <w:pPr>
              <w:pStyle w:val="ac"/>
              <w:numPr>
                <w:ilvl w:val="0"/>
                <w:numId w:val="23"/>
              </w:num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обязанности согласно условиям договора.</w:t>
            </w:r>
          </w:p>
        </w:tc>
        <w:tc>
          <w:tcPr>
            <w:tcW w:w="2126" w:type="dxa"/>
            <w:shd w:val="clear" w:color="auto" w:fill="auto"/>
          </w:tcPr>
          <w:p w14:paraId="32722035"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арендного платежа с банковского счёта согласно банковской выписке.</w:t>
            </w:r>
          </w:p>
        </w:tc>
        <w:tc>
          <w:tcPr>
            <w:tcW w:w="3544" w:type="dxa"/>
          </w:tcPr>
          <w:p w14:paraId="0C37CF71"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18DFFED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могут содержать, в частности, способы </w:t>
            </w:r>
          </w:p>
          <w:p w14:paraId="1720E68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47BD53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5F4A68C5" w14:textId="6439B258"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0F05C956" w14:textId="77777777" w:rsidR="002626C7" w:rsidRPr="00A12F11" w:rsidRDefault="002626C7" w:rsidP="00573A9D">
            <w:pPr>
              <w:pStyle w:val="ac"/>
              <w:spacing w:line="276" w:lineRule="auto"/>
              <w:ind w:left="0"/>
              <w:contextualSpacing w:val="0"/>
              <w:rPr>
                <w:rFonts w:ascii="Times New Roman" w:hAnsi="Times New Roman"/>
                <w:bCs/>
                <w:sz w:val="24"/>
                <w:szCs w:val="24"/>
              </w:rPr>
            </w:pPr>
          </w:p>
          <w:p w14:paraId="0FD208A4" w14:textId="7DFDDC9F"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020E69C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w:t>
            </w:r>
          </w:p>
          <w:p w14:paraId="44A22D66" w14:textId="74447A22"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определения СЧА. Не дисконтируется.</w:t>
            </w:r>
          </w:p>
        </w:tc>
      </w:tr>
      <w:tr w:rsidR="0088150F" w:rsidRPr="00A12F11" w14:paraId="6F316DC1" w14:textId="77777777" w:rsidTr="00573A9D">
        <w:trPr>
          <w:trHeight w:val="1221"/>
        </w:trPr>
        <w:tc>
          <w:tcPr>
            <w:tcW w:w="2984" w:type="dxa"/>
          </w:tcPr>
          <w:p w14:paraId="54D65CC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 xml:space="preserve">Кредиторская задолженность перед агентами по выдаче, погашению и обмену инвестиционных паев </w:t>
            </w:r>
          </w:p>
        </w:tc>
        <w:tc>
          <w:tcPr>
            <w:tcW w:w="2398" w:type="dxa"/>
          </w:tcPr>
          <w:p w14:paraId="3EB250DA"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Дата осуществления операции выдачи и (или) погашения паев по заявке, принятой  агентом.</w:t>
            </w:r>
          </w:p>
        </w:tc>
        <w:tc>
          <w:tcPr>
            <w:tcW w:w="2126" w:type="dxa"/>
          </w:tcPr>
          <w:p w14:paraId="59D4A01F"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агентского вознаграждения согласно банковской выписке.</w:t>
            </w:r>
          </w:p>
        </w:tc>
        <w:tc>
          <w:tcPr>
            <w:tcW w:w="3544" w:type="dxa"/>
          </w:tcPr>
          <w:p w14:paraId="21F3580F" w14:textId="471CD1CB" w:rsidR="002626C7" w:rsidRPr="00A12F11" w:rsidRDefault="002626C7" w:rsidP="00573A9D">
            <w:pPr>
              <w:pStyle w:val="ac"/>
              <w:spacing w:line="276" w:lineRule="auto"/>
              <w:ind w:left="319" w:hanging="745"/>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Справедливая стоимость обязательства  включается</w:t>
            </w:r>
          </w:p>
          <w:p w14:paraId="0B2AEFF9" w14:textId="18C0A61A" w:rsidR="002626C7" w:rsidRPr="00A12F11" w:rsidRDefault="002626C7" w:rsidP="00573A9D">
            <w:pPr>
              <w:pStyle w:val="ac"/>
              <w:spacing w:line="276" w:lineRule="auto"/>
              <w:ind w:left="178" w:hanging="604"/>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4D0FB8CD" w14:textId="216188C9" w:rsidR="00722C11" w:rsidRPr="00A12F11" w:rsidRDefault="002626C7" w:rsidP="00573A9D">
            <w:pPr>
              <w:pStyle w:val="ac"/>
              <w:spacing w:line="276" w:lineRule="auto"/>
              <w:ind w:left="-106" w:hanging="320"/>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определения СЧА. Не дисконтируется.</w:t>
            </w:r>
          </w:p>
        </w:tc>
      </w:tr>
      <w:tr w:rsidR="0088150F" w:rsidRPr="00A12F11" w14:paraId="4751F12A" w14:textId="77777777" w:rsidTr="00573A9D">
        <w:trPr>
          <w:trHeight w:val="1221"/>
        </w:trPr>
        <w:tc>
          <w:tcPr>
            <w:tcW w:w="2984" w:type="dxa"/>
          </w:tcPr>
          <w:p w14:paraId="564C8AC9"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выплате доходов владельцам инвестиционных паев.</w:t>
            </w:r>
          </w:p>
        </w:tc>
        <w:tc>
          <w:tcPr>
            <w:tcW w:w="2398" w:type="dxa"/>
          </w:tcPr>
          <w:p w14:paraId="51751CA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126" w:type="dxa"/>
          </w:tcPr>
          <w:p w14:paraId="14D9387E"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 xml:space="preserve">Дата исполнения обязательств управляющей компанией, подтвержденной банковской выпиской с расчетного счета управляющей компании Д.У. ПИФ. </w:t>
            </w:r>
          </w:p>
          <w:p w14:paraId="6C58FCFB"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 xml:space="preserve">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  </w:t>
            </w:r>
          </w:p>
        </w:tc>
        <w:tc>
          <w:tcPr>
            <w:tcW w:w="3544" w:type="dxa"/>
          </w:tcPr>
          <w:p w14:paraId="3232967F" w14:textId="0CCE17DF" w:rsidR="002626C7"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 xml:space="preserve">Справедливая стоимость обязательства  включается </w:t>
            </w:r>
          </w:p>
          <w:p w14:paraId="7B940874" w14:textId="77777777" w:rsidR="00891899"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2CEE26C4" w14:textId="3004D893" w:rsidR="00722C11"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 xml:space="preserve"> определения СЧА. Не дисконтируется.</w:t>
            </w:r>
          </w:p>
        </w:tc>
      </w:tr>
    </w:tbl>
    <w:p w14:paraId="091DF12E" w14:textId="3B58DDC5" w:rsidR="0062058F" w:rsidRPr="00A12F11" w:rsidRDefault="0062058F" w:rsidP="00A12F11">
      <w:pPr>
        <w:spacing w:before="240" w:line="276" w:lineRule="auto"/>
        <w:jc w:val="both"/>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Кредиторская задолженность по налогам:</w:t>
      </w:r>
    </w:p>
    <w:p w14:paraId="5657A088" w14:textId="7BE7DD33"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а) При отражении выручки фонда по аренде,  реализации объектов недвижимого имущества, уступке имущественных прав, облагаемой налогом на добавленную стоимость, одновременно с признанием выручки  признается кредиторская задолженность по налогу на добавленную стоимость (далее также – НДС) к уплате, которая отражается в учете фонда в разрезе контрагента (ИФНС).</w:t>
      </w:r>
    </w:p>
    <w:p w14:paraId="7AB66356"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б) В момент получения фондом предварительной оплаты по выручке, облагаемой НДС, признается кредиторская задолженность по НДС к уплате с авансов, в разрезе контрагента (ИФНС).</w:t>
      </w:r>
    </w:p>
    <w:p w14:paraId="420DC397"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 xml:space="preserve">в) Кредиторская задолженность по налогу на добавленную стоимость к уплате, отраженная в учете в соответствии с подпунктами а) и б) настоящего пункта, зачитывается с суммами дебиторской задолженности по НДС в дату составления и предоставления налогового регистра фонда по учету НДС. </w:t>
      </w:r>
    </w:p>
    <w:p w14:paraId="02A90F43" w14:textId="7A568264" w:rsidR="0062058F" w:rsidRPr="00A12F11" w:rsidRDefault="001C2595" w:rsidP="00A12F11">
      <w:pPr>
        <w:spacing w:before="240" w:line="276" w:lineRule="auto"/>
        <w:jc w:val="both"/>
        <w:rPr>
          <w:rFonts w:ascii="Times New Roman" w:hAnsi="Times New Roman" w:cs="Times New Roman"/>
          <w:b/>
          <w:bCs/>
          <w:color w:val="000000"/>
          <w:sz w:val="24"/>
          <w:szCs w:val="24"/>
          <w:lang w:eastAsia="ru-RU"/>
        </w:rPr>
      </w:pPr>
      <w:r w:rsidRPr="00A12F11">
        <w:rPr>
          <w:rFonts w:ascii="Times New Roman" w:eastAsia="Calibri" w:hAnsi="Times New Roman" w:cs="Times New Roman"/>
          <w:sz w:val="24"/>
          <w:szCs w:val="24"/>
        </w:rPr>
        <w:t>г</w:t>
      </w:r>
      <w:r w:rsidR="0062058F" w:rsidRPr="00A12F11">
        <w:rPr>
          <w:rFonts w:ascii="Times New Roman" w:eastAsia="Calibri" w:hAnsi="Times New Roman" w:cs="Times New Roman"/>
          <w:sz w:val="24"/>
          <w:szCs w:val="24"/>
        </w:rPr>
        <w:t xml:space="preserve">) Кредиторская задолженность по взаиморасчетам с бюджетом по имущественным налогам признается в дату составления Управляющей компанией Д.У. Фондом расчета (регистра)  (уточненного расчета (регистра)), содержащего информацию о размере и виде исчисленных налогов. </w:t>
      </w:r>
    </w:p>
    <w:p w14:paraId="228F0D05" w14:textId="77777777" w:rsidR="00B03F23" w:rsidRPr="00A12F11" w:rsidRDefault="0062058F"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Кредиторская задолженность</w:t>
      </w:r>
      <w:r w:rsidRPr="00A12F11">
        <w:rPr>
          <w:rFonts w:ascii="Times New Roman" w:hAnsi="Times New Roman" w:cs="Times New Roman"/>
          <w:color w:val="000000"/>
          <w:sz w:val="24"/>
          <w:szCs w:val="24"/>
          <w:lang w:eastAsia="ru-RU"/>
        </w:rPr>
        <w:t xml:space="preserve">, включается в расчет СЧА в размере ее остатка на дату определения СЧА. </w:t>
      </w:r>
    </w:p>
    <w:p w14:paraId="6483368A" w14:textId="1D6AF678"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b/>
          <w:bCs/>
          <w:color w:val="000000"/>
          <w:sz w:val="24"/>
          <w:szCs w:val="24"/>
          <w:lang w:eastAsia="ru-RU"/>
        </w:rPr>
        <w:t xml:space="preserve">Если точная величина обязательства по договору не может быть надежно определена на дату определения СЧА, то используются способы аппроксимации величин, при возможности их применения к определенному виду кредиторской задолженности. Способы аппроксимации должны быть указаны в Правилах определения СЧА. </w:t>
      </w:r>
    </w:p>
    <w:p w14:paraId="18D0387B"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российских рублях, складывается из суммы оценок всех задолженностей по договору (финансовых потоков), то есть всех платежей, которые управляющая компания Д.У. ПИФ должна осуществить в пользу кредитора/заимодавца, включая суммы основного долга и процентные выплаты по нему, накопленные по состоянию на дату оценки. Все суммы округляются до двух знаков после запятой. </w:t>
      </w:r>
    </w:p>
    <w:p w14:paraId="07139330"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иностранной валюте, определяется путем суммирования оценок всех задолженностей по договору (финансовых потоков) в валюте полученного кредита/займа и конвертации в валюту определения СЧА Фонда в соответствии с порядком, установленным Правилами определения СЧА и округлением полученной справедливой стоимости до двух знаков после запятой. </w:t>
      </w:r>
    </w:p>
    <w:p w14:paraId="27F21E4E" w14:textId="77777777" w:rsidR="00337E7C" w:rsidRDefault="00B03F23"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 xml:space="preserve">Аппроксимация: </w:t>
      </w:r>
    </w:p>
    <w:p w14:paraId="14DA866B" w14:textId="67EA70B1"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E6373B7"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85AF9D6" w14:textId="1E4D809A"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106C303E"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4DE2BC5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268B5587"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AA258A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22D7CA5"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3B3E7DCF"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70132D6"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38BD1DEF"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03340F97"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5731F262"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1CAC2D9D" w14:textId="7F46B8F1" w:rsidR="001D77FA" w:rsidRPr="00A12F11" w:rsidRDefault="001A787F" w:rsidP="00337E7C">
      <w:pPr>
        <w:autoSpaceDE w:val="0"/>
        <w:autoSpaceDN w:val="0"/>
        <w:adjustRightInd w:val="0"/>
        <w:spacing w:before="240" w:line="276" w:lineRule="auto"/>
        <w:ind w:left="7506" w:firstLine="282"/>
        <w:jc w:val="both"/>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lang w:eastAsia="ru-RU"/>
        </w:rPr>
        <w:t>Приложение 8</w:t>
      </w:r>
      <w:r w:rsidR="00722C11" w:rsidRPr="00A12F11">
        <w:rPr>
          <w:rFonts w:ascii="Times New Roman" w:hAnsi="Times New Roman" w:cs="Times New Roman"/>
          <w:b/>
          <w:color w:val="000000" w:themeColor="text1"/>
          <w:sz w:val="24"/>
          <w:szCs w:val="24"/>
          <w:lang w:eastAsia="ru-RU"/>
        </w:rPr>
        <w:t xml:space="preserve"> </w:t>
      </w:r>
    </w:p>
    <w:p w14:paraId="1A673E9F" w14:textId="329BC39D" w:rsidR="00157AB6" w:rsidRPr="00A12F11" w:rsidRDefault="00157AB6" w:rsidP="00A12F11">
      <w:pPr>
        <w:pStyle w:val="ac"/>
        <w:spacing w:before="240" w:line="276" w:lineRule="auto"/>
        <w:ind w:left="426" w:hanging="426"/>
        <w:jc w:val="center"/>
        <w:rPr>
          <w:rFonts w:ascii="Times New Roman" w:eastAsia="Times New Roman" w:hAnsi="Times New Roman" w:cs="Times New Roman"/>
          <w:b/>
          <w:bCs/>
          <w:color w:val="000000" w:themeColor="text1"/>
          <w:sz w:val="24"/>
          <w:szCs w:val="24"/>
          <w:lang w:eastAsia="ru-RU"/>
        </w:rPr>
      </w:pPr>
      <w:r w:rsidRPr="00A12F11">
        <w:rPr>
          <w:rFonts w:ascii="Times New Roman" w:hAnsi="Times New Roman" w:cs="Times New Roman"/>
          <w:b/>
          <w:caps/>
          <w:color w:val="000000" w:themeColor="text1"/>
          <w:sz w:val="24"/>
          <w:szCs w:val="24"/>
        </w:rPr>
        <w:t>Денежные средства на счетах, в том числе на транзитных, валютных счетах, открытых на управляющую компанию Д.У. ПИФ</w:t>
      </w:r>
    </w:p>
    <w:p w14:paraId="33B47333" w14:textId="581AE244"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 том числе на транзитных, валютных счетах, открытых на управляющую компанию Д.У. ПИФ</w:t>
      </w:r>
    </w:p>
    <w:p w14:paraId="5CE7E60E" w14:textId="2E98B715" w:rsidR="00636016" w:rsidRPr="00A12F11" w:rsidRDefault="00636016"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E90DBD6" w14:textId="264E8D8A"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p w14:paraId="6E228BA4" w14:textId="16D550AA" w:rsidR="00DB23E2"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F08179F"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перечислению денежных средств со счета;</w:t>
      </w:r>
    </w:p>
    <w:p w14:paraId="347EFD3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10845045" w14:textId="79406A55" w:rsidR="00A85090" w:rsidRPr="00A12F11" w:rsidRDefault="00A85090"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373C49DF" w14:textId="2FFE057D" w:rsidR="00A85090"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4BEDA36"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денежных средств на счетах, в том </w:t>
      </w:r>
      <w:r w:rsidRPr="00A12F11">
        <w:rPr>
          <w:rFonts w:ascii="Times New Roman" w:eastAsia="Times New Roman" w:hAnsi="Times New Roman" w:cs="Times New Roman"/>
          <w:bCs/>
          <w:sz w:val="24"/>
          <w:szCs w:val="24"/>
          <w:lang w:eastAsia="ru-RU"/>
        </w:rPr>
        <w:t>числе на транзитных, валютных счетах</w:t>
      </w:r>
      <w:r w:rsidRPr="00A12F11">
        <w:rPr>
          <w:rFonts w:ascii="Times New Roman" w:eastAsia="Times New Roman" w:hAnsi="Times New Roman" w:cs="Times New Roman"/>
          <w:bCs/>
          <w:color w:val="000000"/>
          <w:sz w:val="24"/>
          <w:szCs w:val="24"/>
          <w:lang w:eastAsia="ru-RU"/>
        </w:rPr>
        <w:t xml:space="preserve">, открытых на управляющую компанию Д.У. ПИФ определяется в сумме остатка на счетах открытых на управляющую компанию Д.У. ПИФ. </w:t>
      </w:r>
    </w:p>
    <w:p w14:paraId="3D72FA9D" w14:textId="369C4A2A" w:rsidR="00DC1191" w:rsidRPr="00A12F11" w:rsidRDefault="00DC119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w:t>
      </w:r>
      <w:r w:rsidR="009B22EA" w:rsidRPr="00A12F11">
        <w:rPr>
          <w:rFonts w:ascii="Times New Roman" w:eastAsia="Times New Roman" w:hAnsi="Times New Roman" w:cs="Times New Roman"/>
          <w:bCs/>
          <w:color w:val="000000"/>
          <w:sz w:val="24"/>
          <w:szCs w:val="24"/>
          <w:lang w:eastAsia="ru-RU"/>
        </w:rPr>
        <w:t>отсутствия</w:t>
      </w:r>
      <w:r w:rsidRPr="00A12F11">
        <w:rPr>
          <w:rFonts w:ascii="Times New Roman" w:eastAsia="Times New Roman" w:hAnsi="Times New Roman" w:cs="Times New Roman"/>
          <w:bCs/>
          <w:color w:val="000000"/>
          <w:sz w:val="24"/>
          <w:szCs w:val="24"/>
          <w:lang w:eastAsia="ru-RU"/>
        </w:rPr>
        <w:t xml:space="preserve"> признаков обесценения, 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0B90E65B" w14:textId="77777777" w:rsidR="00573A9D" w:rsidRDefault="00DC1191" w:rsidP="00573A9D">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Превышение указанных сроков по независящим от Управляющей компании причинам, а так же возникновение признаков обесценения, ведет к необходимости корректировки справедливой стоимости (Приложение </w:t>
      </w:r>
      <w:hyperlink w:anchor="приложение_6" w:history="1">
        <w:r w:rsidRPr="00A12F11">
          <w:rPr>
            <w:rFonts w:ascii="Times New Roman" w:eastAsia="Times New Roman" w:hAnsi="Times New Roman" w:cs="Times New Roman"/>
            <w:bCs/>
            <w:color w:val="000000"/>
            <w:sz w:val="24"/>
            <w:szCs w:val="24"/>
            <w:lang w:eastAsia="ru-RU"/>
          </w:rPr>
          <w:t>5</w:t>
        </w:r>
      </w:hyperlink>
      <w:r w:rsidRPr="00A12F11">
        <w:rPr>
          <w:rFonts w:ascii="Times New Roman" w:eastAsia="Times New Roman" w:hAnsi="Times New Roman" w:cs="Times New Roman"/>
          <w:bCs/>
          <w:color w:val="000000"/>
          <w:sz w:val="24"/>
          <w:szCs w:val="24"/>
          <w:lang w:eastAsia="ru-RU"/>
        </w:rPr>
        <w:t>)</w:t>
      </w:r>
    </w:p>
    <w:p w14:paraId="6F91B97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68293B2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74EFA38"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4812A996"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97F674E"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0F652C62"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2526069"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14EA059D"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77C1F6F9" w14:textId="4D496D11" w:rsidR="00E130B0" w:rsidRPr="00A12F11" w:rsidRDefault="00E130B0" w:rsidP="00573A9D">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 xml:space="preserve">Приложение </w:t>
      </w:r>
      <w:r w:rsidR="001A787F" w:rsidRPr="00A12F11">
        <w:rPr>
          <w:rFonts w:ascii="Times New Roman" w:hAnsi="Times New Roman" w:cs="Times New Roman"/>
          <w:b/>
          <w:sz w:val="24"/>
          <w:szCs w:val="24"/>
        </w:rPr>
        <w:t>9</w:t>
      </w:r>
    </w:p>
    <w:p w14:paraId="3718C7DF" w14:textId="77777777" w:rsidR="00E130B0" w:rsidRPr="00A12F11" w:rsidRDefault="00E130B0" w:rsidP="00A12F11">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ДЕБИТОРСКАЯ ЗАДОЛЖЕННОСТЬ ПО ПРОЦЕНТНОМУ ДОХОДУ ПО ДЕНЕЖНЫМ СРЕДСТВАМ НА СЧЕТАХ (ВКЛЮЧАЯ МНО).</w:t>
      </w:r>
    </w:p>
    <w:p w14:paraId="3A8C7F4E" w14:textId="7B1FE93E" w:rsidR="00DB23E2"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Дебиторская задолженность по процентному доходу по денежным средствам на счетах управляющей компании Д.У. ПИФ, а так же в случае если заключено соглашение с банком о минимальном неснижаемом остатке (МНО) денежных средств на расчетных счетах.</w:t>
      </w:r>
    </w:p>
    <w:p w14:paraId="0A728A30" w14:textId="40FC0755" w:rsidR="00DB23E2"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7496B74" w14:textId="18FD70DA"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Проценты  на 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6D18924C" w14:textId="54F5D11B" w:rsidR="009A6D20"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58E1F405" w14:textId="100C1FC6" w:rsidR="007A5154" w:rsidRPr="00A12F11" w:rsidRDefault="007A5154" w:rsidP="00A12F11">
      <w:pPr>
        <w:spacing w:before="240" w:line="276" w:lineRule="auto"/>
        <w:ind w:left="426" w:hanging="426"/>
        <w:rPr>
          <w:rFonts w:ascii="Times New Roman" w:eastAsia="Calibri" w:hAnsi="Times New Roman" w:cs="Times New Roman"/>
          <w:bCs/>
          <w:i/>
          <w:color w:val="000000" w:themeColor="text1"/>
          <w:sz w:val="24"/>
          <w:szCs w:val="24"/>
        </w:rPr>
      </w:pPr>
      <w:r w:rsidRPr="00A12F11">
        <w:rPr>
          <w:rFonts w:ascii="Times New Roman" w:eastAsia="Calibri" w:hAnsi="Times New Roman" w:cs="Times New Roman"/>
          <w:b/>
          <w:sz w:val="24"/>
          <w:szCs w:val="24"/>
        </w:rPr>
        <w:t>Критерии прекращения признания</w:t>
      </w:r>
    </w:p>
    <w:p w14:paraId="38D6D74C" w14:textId="56EA4618"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исполнения кредитной организацией обязательств по выплате процентов </w:t>
      </w:r>
    </w:p>
    <w:p w14:paraId="748FD910" w14:textId="3D36B3A4" w:rsidR="00CC70F1" w:rsidRPr="00A12F11" w:rsidRDefault="00CC70F1"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актив «прочая дебиторская задолженность»)</w:t>
      </w:r>
    </w:p>
    <w:p w14:paraId="250E4CE9" w14:textId="77777777"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3C2BB43D" w14:textId="7843CB9E" w:rsidR="007A5154"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BE75778" w14:textId="0877615A" w:rsidR="007A5154"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Pr="00A12F11">
        <w:rPr>
          <w:rFonts w:ascii="Times New Roman" w:eastAsia="Times New Roman" w:hAnsi="Times New Roman" w:cs="Times New Roman"/>
          <w:bCs/>
          <w:color w:val="000000"/>
          <w:sz w:val="24"/>
          <w:szCs w:val="24"/>
          <w:lang w:eastAsia="ru-RU"/>
        </w:rPr>
        <w:t xml:space="preserve">При отсутствии признаков обесценения, справедливая стоимость равна сумме начисленных согласно условиям договора/соглашения о МНО процентов.     </w:t>
      </w:r>
    </w:p>
    <w:p w14:paraId="1D26324F" w14:textId="1EBE6BC4" w:rsidR="00337E7C" w:rsidRDefault="007A5154"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просрочке обязательств банком,  ее справедливая стоимость корректируется в соответствии с  Приложением 5. Обесценение производится с первого дня просрочки обязательств банком.</w:t>
      </w:r>
    </w:p>
    <w:p w14:paraId="0A390038" w14:textId="47CA18CB"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F260348" w14:textId="6058AB5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4B1D556" w14:textId="75522EF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CDFA033" w14:textId="5A11BDD6"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5AC9793" w14:textId="793FE4A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332C2A4" w14:textId="6D61D26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CD2E9C1" w14:textId="225E6DA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1BA15FA9" w14:textId="18DF8E8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36B39AA" w14:textId="5390152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9899187" w14:textId="0DA0BFA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AE490A7" w14:textId="5D8E3899"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341E2F02" w14:textId="04FE290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577FDEE" w14:textId="075562E4"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1BF669E" w14:textId="56D0B88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043FA12" w14:textId="6ADD5502"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8133113" w14:textId="234E8FC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3E61C53" w14:textId="4AD48E87" w:rsidR="00DB23E2" w:rsidRPr="00A12F11" w:rsidRDefault="00DB23E2" w:rsidP="00337E7C">
      <w:pPr>
        <w:keepNext/>
        <w:spacing w:before="240" w:line="276" w:lineRule="auto"/>
        <w:ind w:left="426" w:hanging="426"/>
        <w:contextualSpacing/>
        <w:jc w:val="right"/>
        <w:rPr>
          <w:rFonts w:ascii="Times New Roman" w:hAnsi="Times New Roman" w:cs="Times New Roman"/>
          <w:b/>
          <w:sz w:val="24"/>
          <w:szCs w:val="24"/>
        </w:rPr>
      </w:pPr>
      <w:r w:rsidRPr="00A12F11">
        <w:rPr>
          <w:rFonts w:ascii="Times New Roman" w:hAnsi="Times New Roman" w:cs="Times New Roman"/>
          <w:b/>
          <w:sz w:val="24"/>
          <w:szCs w:val="24"/>
        </w:rPr>
        <w:t xml:space="preserve">Приложение </w:t>
      </w:r>
      <w:r w:rsidR="001A787F" w:rsidRPr="00A12F11">
        <w:rPr>
          <w:rFonts w:ascii="Times New Roman" w:hAnsi="Times New Roman" w:cs="Times New Roman"/>
          <w:b/>
          <w:sz w:val="24"/>
          <w:szCs w:val="24"/>
        </w:rPr>
        <w:t>10</w:t>
      </w:r>
    </w:p>
    <w:p w14:paraId="2FC72C8E" w14:textId="77777777" w:rsidR="00337E7C" w:rsidRDefault="00337E7C" w:rsidP="00A12F11">
      <w:pPr>
        <w:keepNext/>
        <w:spacing w:before="240" w:line="276" w:lineRule="auto"/>
        <w:ind w:left="426" w:hanging="426"/>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51C4025" w14:textId="07FA4B90" w:rsidR="00337E7C" w:rsidRDefault="00DB23E2" w:rsidP="00337E7C">
      <w:pPr>
        <w:keepNext/>
        <w:spacing w:before="240" w:line="276" w:lineRule="auto"/>
        <w:ind w:left="426" w:hanging="426"/>
        <w:contextualSpacing/>
        <w:jc w:val="center"/>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t>ДЕНЕЖНЫЕ СРЕДСТВА ВО ВКЛАДАХ (ДЕПОЗИТАХ)</w:t>
      </w:r>
    </w:p>
    <w:p w14:paraId="01D1F92D" w14:textId="1DE4945C" w:rsidR="009A6D20" w:rsidRPr="00A12F11" w:rsidRDefault="000917EC"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во вкладах в кредитных организациях (далее – депозиты)</w:t>
      </w:r>
    </w:p>
    <w:p w14:paraId="6B7AF609" w14:textId="77777777" w:rsidR="009A6D20" w:rsidRPr="00A12F11" w:rsidRDefault="009A6D2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 xml:space="preserve">Критерии признания </w:t>
      </w:r>
    </w:p>
    <w:p w14:paraId="277A66FC" w14:textId="77777777"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депозитный счет на основании выписки с указанного счета;</w:t>
      </w:r>
    </w:p>
    <w:p w14:paraId="4216D859" w14:textId="1DCDA099"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процентах на основании договора.</w:t>
      </w:r>
    </w:p>
    <w:p w14:paraId="6AAE7C97" w14:textId="673D9F58" w:rsidR="00A85090" w:rsidRPr="00A12F11" w:rsidRDefault="00A8509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42EEAC29" w14:textId="77777777" w:rsidR="00A85090" w:rsidRPr="00A12F11" w:rsidRDefault="00A85090" w:rsidP="00A12F11">
      <w:pPr>
        <w:pStyle w:val="ac"/>
        <w:numPr>
          <w:ilvl w:val="0"/>
          <w:numId w:val="62"/>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возврату депозита на счет ПИФ (дата поступления на счет ПИФ денежных средств);</w:t>
      </w:r>
    </w:p>
    <w:p w14:paraId="594F6BAC"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процентов на основании договора;</w:t>
      </w:r>
    </w:p>
    <w:p w14:paraId="56E289F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(депозиты переходят в статус дебиторской задолженности);</w:t>
      </w:r>
    </w:p>
    <w:p w14:paraId="0EA68885" w14:textId="1C6B513F" w:rsidR="00A85090" w:rsidRPr="00A12F11" w:rsidRDefault="00A85090" w:rsidP="00A12F11">
      <w:pPr>
        <w:pStyle w:val="ac"/>
        <w:numPr>
          <w:ilvl w:val="0"/>
          <w:numId w:val="27"/>
        </w:num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4EC8AB11" w14:textId="77777777" w:rsidR="00337E7C" w:rsidRDefault="00A85090" w:rsidP="00337E7C">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F2661EE" w14:textId="77777777" w:rsidR="00337E7C"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депозитов </w:t>
      </w:r>
      <w:r w:rsidRPr="00A12F11">
        <w:rPr>
          <w:rFonts w:ascii="Times New Roman" w:hAnsi="Times New Roman" w:cs="Times New Roman"/>
          <w:sz w:val="24"/>
          <w:szCs w:val="24"/>
        </w:rPr>
        <w:t>в течение максимального срока, предусмотренного договором,</w:t>
      </w:r>
      <w:r w:rsidRPr="00A12F11">
        <w:rPr>
          <w:rFonts w:ascii="Times New Roman" w:eastAsia="Times New Roman" w:hAnsi="Times New Roman" w:cs="Times New Roman"/>
          <w:bCs/>
          <w:color w:val="000000"/>
          <w:sz w:val="24"/>
          <w:szCs w:val="24"/>
          <w:lang w:eastAsia="ru-RU"/>
        </w:rPr>
        <w:t xml:space="preserve"> определяется:</w:t>
      </w:r>
    </w:p>
    <w:p w14:paraId="68AFE58F" w14:textId="4DA5727F" w:rsidR="00A85090" w:rsidRPr="00A12F11"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остатка депозита, увеличенной на сумму процентов, рассчитанных на дату определения справедливой стоимости по ставке, предусмотренной договором, </w:t>
      </w:r>
      <w:r w:rsidRPr="00A12F11">
        <w:rPr>
          <w:rFonts w:ascii="Times New Roman" w:eastAsia="Times New Roman" w:hAnsi="Times New Roman" w:cs="Times New Roman"/>
          <w:b/>
          <w:bCs/>
          <w:sz w:val="24"/>
          <w:szCs w:val="24"/>
          <w:lang w:eastAsia="ru-RU"/>
        </w:rPr>
        <w:t>если срок погашения депозита - «до востребования»</w:t>
      </w:r>
      <w:r w:rsidRPr="00A12F11">
        <w:rPr>
          <w:rFonts w:ascii="Times New Roman" w:eastAsia="Times New Roman" w:hAnsi="Times New Roman" w:cs="Times New Roman"/>
          <w:bCs/>
          <w:color w:val="000000"/>
          <w:sz w:val="24"/>
          <w:szCs w:val="24"/>
          <w:lang w:eastAsia="ru-RU"/>
        </w:rPr>
        <w:t>;</w:t>
      </w:r>
    </w:p>
    <w:p w14:paraId="3F067D49" w14:textId="337C78A7" w:rsidR="00A85090" w:rsidRPr="00A12F11" w:rsidRDefault="00A85090" w:rsidP="00337E7C">
      <w:pPr>
        <w:pStyle w:val="ac"/>
        <w:numPr>
          <w:ilvl w:val="0"/>
          <w:numId w:val="27"/>
        </w:numPr>
        <w:spacing w:line="240"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сумме депозита, увеличенной на сумму процентов, рассчитанных на дату определения  справедливой стоимости по ставке, предусмотренной депозитным договором в течение максимального срока, предусмотренного договором</w:t>
      </w:r>
      <w:r w:rsidRPr="00A12F11">
        <w:rPr>
          <w:rFonts w:ascii="Times New Roman" w:eastAsia="Times New Roman" w:hAnsi="Times New Roman" w:cs="Times New Roman"/>
          <w:bCs/>
          <w:sz w:val="24"/>
          <w:szCs w:val="24"/>
          <w:lang w:eastAsia="ru-RU"/>
        </w:rPr>
        <w:t>,</w:t>
      </w:r>
      <w:r w:rsidRPr="00A12F11">
        <w:rPr>
          <w:rFonts w:ascii="Times New Roman" w:eastAsia="Times New Roman" w:hAnsi="Times New Roman" w:cs="Times New Roman"/>
          <w:b/>
          <w:bCs/>
          <w:sz w:val="24"/>
          <w:szCs w:val="24"/>
          <w:lang w:eastAsia="ru-RU"/>
        </w:rPr>
        <w:t xml:space="preserve"> если срок возврата депозита - не более 1 (Одного) года и ставка по договору соответствует рыночной </w:t>
      </w:r>
      <w:r w:rsidRPr="00A12F11">
        <w:rPr>
          <w:rFonts w:ascii="Times New Roman" w:eastAsia="Times New Roman" w:hAnsi="Times New Roman" w:cs="Times New Roman"/>
          <w:bCs/>
          <w:sz w:val="24"/>
          <w:szCs w:val="24"/>
          <w:lang w:eastAsia="ru-RU"/>
        </w:rPr>
        <w:t xml:space="preserve">на дату определения </w:t>
      </w:r>
      <w:r w:rsidRPr="00A12F11">
        <w:rPr>
          <w:rFonts w:ascii="Times New Roman" w:eastAsia="Times New Roman" w:hAnsi="Times New Roman" w:cs="Times New Roman"/>
          <w:bCs/>
          <w:color w:val="000000"/>
          <w:sz w:val="24"/>
          <w:szCs w:val="24"/>
          <w:lang w:eastAsia="ru-RU"/>
        </w:rPr>
        <w:t>справедливой стоимости</w:t>
      </w:r>
      <w:r w:rsidRPr="00A12F11">
        <w:rPr>
          <w:rFonts w:ascii="Times New Roman" w:eastAsia="Times New Roman" w:hAnsi="Times New Roman" w:cs="Times New Roman"/>
          <w:bCs/>
          <w:sz w:val="24"/>
          <w:szCs w:val="24"/>
          <w:lang w:eastAsia="ru-RU"/>
        </w:rPr>
        <w:t xml:space="preserve">. Ставка по договору соответствует рыночной, если она находится в пределах диапазона колебаний рыночной ставки. Порядок определения рыночной ставки и диапазона колебаний рыночной ставки установлен в </w:t>
      </w:r>
      <w:r w:rsidR="006002E2" w:rsidRPr="00A12F11">
        <w:rPr>
          <w:rFonts w:ascii="Times New Roman" w:eastAsia="Times New Roman" w:hAnsi="Times New Roman" w:cs="Times New Roman"/>
          <w:bCs/>
          <w:sz w:val="24"/>
          <w:szCs w:val="24"/>
          <w:lang w:eastAsia="ru-RU"/>
        </w:rPr>
        <w:t xml:space="preserve">Приложении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w:t>
      </w:r>
    </w:p>
    <w:p w14:paraId="7701274B" w14:textId="2638AB6E"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w:t>
      </w:r>
      <w:r w:rsidRPr="00A12F11">
        <w:rPr>
          <w:rFonts w:ascii="Times New Roman" w:hAnsi="Times New Roman" w:cs="Times New Roman"/>
          <w:sz w:val="24"/>
          <w:szCs w:val="24"/>
        </w:rPr>
        <w:t>определенной с использованием метода приведенной стоимости будущих денежных потоков на весь срок депозита (</w:t>
      </w:r>
      <w:r w:rsidR="00A15D06" w:rsidRPr="00A12F11">
        <w:rPr>
          <w:rFonts w:ascii="Times New Roman" w:hAnsi="Times New Roman" w:cs="Times New Roman"/>
          <w:sz w:val="24"/>
          <w:szCs w:val="24"/>
        </w:rPr>
        <w:t xml:space="preserve">Приложение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 xml:space="preserve">в иных случаях. </w:t>
      </w:r>
      <w:r w:rsidRPr="00A12F11">
        <w:rPr>
          <w:rFonts w:ascii="Times New Roman" w:hAnsi="Times New Roman" w:cs="Times New Roman"/>
          <w:sz w:val="24"/>
          <w:szCs w:val="24"/>
        </w:rPr>
        <w:t>При этом</w:t>
      </w:r>
      <w:r w:rsidRPr="00A12F11">
        <w:rPr>
          <w:rFonts w:ascii="Times New Roman" w:hAnsi="Times New Roman" w:cs="Times New Roman"/>
          <w:b/>
          <w:sz w:val="24"/>
          <w:szCs w:val="24"/>
        </w:rPr>
        <w:t xml:space="preserve"> </w:t>
      </w:r>
      <w:r w:rsidRPr="00A12F11">
        <w:rPr>
          <w:rFonts w:ascii="Times New Roman" w:eastAsia="Times New Roman" w:hAnsi="Times New Roman" w:cs="Times New Roman"/>
          <w:bCs/>
          <w:color w:val="000000"/>
          <w:sz w:val="24"/>
          <w:szCs w:val="24"/>
          <w:lang w:eastAsia="ru-RU"/>
        </w:rPr>
        <w:t>справедливая стоимость на каждую дату расчета такой справедливой стоимости не может быть ниже суммы, которая была бы возвращена в ПИФ при условии расторжения депозитного договора на дату оценки.</w:t>
      </w:r>
    </w:p>
    <w:p w14:paraId="024D56EB"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внесения изменений в </w:t>
      </w:r>
      <w:r w:rsidRPr="00A12F11">
        <w:rPr>
          <w:rFonts w:ascii="Times New Roman" w:hAnsi="Times New Roman" w:cs="Times New Roman"/>
          <w:sz w:val="24"/>
          <w:szCs w:val="24"/>
        </w:rPr>
        <w:t>условия определения срока</w:t>
      </w:r>
      <w:r w:rsidRPr="00A12F11">
        <w:rPr>
          <w:rFonts w:ascii="Times New Roman" w:eastAsia="Times New Roman" w:hAnsi="Times New Roman" w:cs="Times New Roman"/>
          <w:bCs/>
          <w:color w:val="000000"/>
          <w:sz w:val="24"/>
          <w:szCs w:val="24"/>
          <w:lang w:eastAsia="ru-RU"/>
        </w:rPr>
        <w:t xml:space="preserve"> договора </w:t>
      </w:r>
      <w:r w:rsidRPr="00A12F11">
        <w:rPr>
          <w:rFonts w:ascii="Times New Roman" w:hAnsi="Times New Roman" w:cs="Times New Roman"/>
          <w:sz w:val="24"/>
          <w:szCs w:val="24"/>
        </w:rPr>
        <w:t>максимальный срок определяется в соответствии с  изменённым сроком депозита, действующим на дату определения справедливой стоимости, причем накопление срока вклада не происходит.</w:t>
      </w:r>
    </w:p>
    <w:p w14:paraId="21FC2959" w14:textId="0847E812" w:rsidR="001E59E0" w:rsidRPr="00A12F11" w:rsidRDefault="00A85090" w:rsidP="00573A9D">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Cs/>
          <w:color w:val="000000"/>
          <w:sz w:val="24"/>
          <w:szCs w:val="24"/>
        </w:rPr>
        <w:t>Справедливая стоимость депозитов определяется в соответствии с методом корректировки справедливой стоимости при возникновении события, ведущего к обесценению (</w:t>
      </w:r>
      <w:r w:rsidR="001C3896" w:rsidRPr="00A12F11">
        <w:rPr>
          <w:rFonts w:ascii="Times New Roman" w:eastAsia="Calibri" w:hAnsi="Times New Roman" w:cs="Times New Roman"/>
          <w:sz w:val="24"/>
          <w:szCs w:val="24"/>
        </w:rPr>
        <w:t xml:space="preserve">Приложение </w:t>
      </w:r>
      <w:r w:rsidR="001C3896" w:rsidRPr="00A12F11">
        <w:rPr>
          <w:rFonts w:ascii="Times New Roman" w:hAnsi="Times New Roman" w:cs="Times New Roman"/>
          <w:bCs/>
          <w:color w:val="000000"/>
          <w:sz w:val="24"/>
          <w:szCs w:val="24"/>
        </w:rPr>
        <w:t>5</w:t>
      </w:r>
      <w:r w:rsidRPr="00A12F11">
        <w:rPr>
          <w:rFonts w:ascii="Times New Roman" w:hAnsi="Times New Roman" w:cs="Times New Roman"/>
          <w:bCs/>
          <w:color w:val="000000"/>
          <w:sz w:val="24"/>
          <w:szCs w:val="24"/>
        </w:rPr>
        <w:t>).</w:t>
      </w:r>
    </w:p>
    <w:p w14:paraId="499E3E24" w14:textId="3F1EF725" w:rsidR="00A5725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11</w:t>
      </w:r>
    </w:p>
    <w:p w14:paraId="16BA1C05" w14:textId="69F2D6E6" w:rsidR="00D93BF1" w:rsidRPr="00A12F11" w:rsidRDefault="00A5725C" w:rsidP="00A12F11">
      <w:pPr>
        <w:spacing w:before="240" w:line="276" w:lineRule="auto"/>
        <w:ind w:left="426" w:hanging="426"/>
        <w:jc w:val="center"/>
        <w:rPr>
          <w:rFonts w:ascii="Times New Roman" w:eastAsia="Batang" w:hAnsi="Times New Roman" w:cs="Times New Roman"/>
          <w:b/>
          <w:color w:val="000000"/>
          <w:sz w:val="24"/>
          <w:szCs w:val="24"/>
        </w:rPr>
      </w:pPr>
      <w:r w:rsidRPr="00A12F11">
        <w:rPr>
          <w:rFonts w:ascii="Times New Roman" w:eastAsia="Batang" w:hAnsi="Times New Roman" w:cs="Times New Roman"/>
          <w:b/>
          <w:color w:val="000000"/>
          <w:sz w:val="24"/>
          <w:szCs w:val="24"/>
        </w:rPr>
        <w:t>ЦЕННЫЕ БУМАГИ, В Т.Ч. ДЕПОЗИТНЫЕ СЕРТИФИКАТЫ</w:t>
      </w:r>
    </w:p>
    <w:p w14:paraId="5068255C" w14:textId="670DA64A"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50A25B9" w14:textId="038418EF"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 xml:space="preserve">(за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 см. </w:t>
      </w:r>
      <w:hyperlink w:anchor="_Приложение_331._Договор" w:history="1">
        <w:r w:rsidRPr="00A12F11">
          <w:rPr>
            <w:rStyle w:val="aff4"/>
            <w:rFonts w:ascii="Times New Roman" w:eastAsia="Times New Roman" w:hAnsi="Times New Roman" w:cs="Times New Roman"/>
            <w:bCs/>
            <w:sz w:val="24"/>
            <w:szCs w:val="24"/>
            <w:lang w:eastAsia="ru-RU"/>
          </w:rPr>
          <w:t xml:space="preserve">Приложение </w:t>
        </w:r>
        <w:r w:rsidR="000A1560" w:rsidRPr="00A12F11">
          <w:rPr>
            <w:rStyle w:val="aff4"/>
            <w:rFonts w:ascii="Times New Roman" w:eastAsia="Times New Roman" w:hAnsi="Times New Roman" w:cs="Times New Roman"/>
            <w:bCs/>
            <w:sz w:val="24"/>
            <w:szCs w:val="24"/>
            <w:lang w:val="en-US" w:eastAsia="ru-RU"/>
          </w:rPr>
          <w:t>2</w:t>
        </w:r>
      </w:hyperlink>
      <w:r w:rsidR="006002E2" w:rsidRPr="00A12F11">
        <w:rPr>
          <w:rStyle w:val="aff4"/>
          <w:rFonts w:ascii="Times New Roman" w:eastAsia="Times New Roman" w:hAnsi="Times New Roman" w:cs="Times New Roman"/>
          <w:bCs/>
          <w:sz w:val="24"/>
          <w:szCs w:val="24"/>
          <w:lang w:eastAsia="ru-RU"/>
        </w:rPr>
        <w:t>1</w:t>
      </w:r>
      <w:r w:rsidR="003355A0" w:rsidRPr="00A12F11">
        <w:rPr>
          <w:rFonts w:ascii="Times New Roman" w:eastAsia="Times New Roman" w:hAnsi="Times New Roman" w:cs="Times New Roman"/>
          <w:bCs/>
          <w:color w:val="000000"/>
          <w:sz w:val="24"/>
          <w:szCs w:val="24"/>
          <w:lang w:eastAsia="ru-RU"/>
        </w:rPr>
        <w:t xml:space="preserve"> «Сделки РЕПО»)</w:t>
      </w:r>
    </w:p>
    <w:p w14:paraId="315600FA"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B703755"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11B154C1" w14:textId="5EAFD785" w:rsidR="0056296A" w:rsidRPr="00A12F11" w:rsidRDefault="0056296A"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1AEBF25E" w14:textId="55AD93F3"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67E66124"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0C298C41"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30F65BDA"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62E838C" w14:textId="444D942E"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7F11C603" w14:textId="66FC140F" w:rsidR="0056296A" w:rsidRPr="00A12F11" w:rsidRDefault="00B23187" w:rsidP="00A12F11">
      <w:pPr>
        <w:pStyle w:val="ac"/>
        <w:numPr>
          <w:ilvl w:val="0"/>
          <w:numId w:val="26"/>
        </w:numPr>
        <w:spacing w:before="240" w:line="276" w:lineRule="auto"/>
        <w:ind w:left="426" w:hanging="426"/>
        <w:jc w:val="both"/>
        <w:rPr>
          <w:rFonts w:ascii="Times New Roman" w:eastAsia="Batang" w:hAnsi="Times New Roman" w:cs="Times New Roman"/>
          <w:b/>
          <w:color w:val="000000"/>
          <w:sz w:val="24"/>
          <w:szCs w:val="24"/>
        </w:rPr>
      </w:pPr>
      <w:r w:rsidRPr="00A12F11">
        <w:rPr>
          <w:rFonts w:ascii="Times New Roman" w:eastAsia="Times New Roman" w:hAnsi="Times New Roman" w:cs="Times New Roman"/>
          <w:bCs/>
          <w:color w:val="000000"/>
          <w:sz w:val="24"/>
          <w:szCs w:val="24"/>
          <w:lang w:eastAsia="ru-RU"/>
        </w:rPr>
        <w:t xml:space="preserve"> е</w:t>
      </w:r>
      <w:r w:rsidR="0056296A" w:rsidRPr="00A12F11">
        <w:rPr>
          <w:rFonts w:ascii="Times New Roman" w:eastAsia="Times New Roman" w:hAnsi="Times New Roman" w:cs="Times New Roman"/>
          <w:bCs/>
          <w:color w:val="000000"/>
          <w:sz w:val="24"/>
          <w:szCs w:val="24"/>
          <w:lang w:eastAsia="ru-RU"/>
        </w:rPr>
        <w:t>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2EAC0682" w14:textId="4B669740" w:rsidR="00086BBB"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A8CD289"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ценной бумаги – цена, определенная с помощью моделей, указанных в </w:t>
      </w:r>
      <w:hyperlink w:anchor="_Приложение_3._Модели" w:history="1">
        <w:r w:rsidRPr="00A12F11">
          <w:rPr>
            <w:rStyle w:val="aff4"/>
            <w:rFonts w:ascii="Times New Roman" w:eastAsia="Times New Roman" w:hAnsi="Times New Roman" w:cs="Times New Roman"/>
            <w:bCs/>
            <w:sz w:val="24"/>
            <w:szCs w:val="24"/>
            <w:lang w:eastAsia="ru-RU"/>
          </w:rPr>
          <w:t>Приложении 3</w:t>
        </w:r>
      </w:hyperlink>
      <w:r w:rsidRPr="00A12F11">
        <w:rPr>
          <w:rFonts w:ascii="Times New Roman" w:eastAsia="Times New Roman" w:hAnsi="Times New Roman" w:cs="Times New Roman"/>
          <w:bCs/>
          <w:color w:val="000000"/>
          <w:sz w:val="24"/>
          <w:szCs w:val="24"/>
          <w:lang w:eastAsia="ru-RU"/>
        </w:rPr>
        <w:t>.</w:t>
      </w:r>
    </w:p>
    <w:p w14:paraId="27758A91"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w:t>
      </w:r>
      <w:r w:rsidRPr="00A12F11">
        <w:rPr>
          <w:rFonts w:ascii="Times New Roman" w:hAnsi="Times New Roman" w:cs="Times New Roman"/>
          <w:sz w:val="24"/>
          <w:szCs w:val="24"/>
        </w:rPr>
        <w:t>долговых ценных бумаг признается равной 0 (Ноль), в случае наступления даты полного погашения номинала в соответствии с условиями выпуска ценных бумаг - с даты отражения в дебиторской задолженности суммы номинала к получению до даты полного погашения номинала в соответствии с условиями выпуска ценных бумаг.</w:t>
      </w:r>
    </w:p>
    <w:p w14:paraId="6E0CAA15" w14:textId="1CA94C3B"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Дата и события, приводящие к обесценению</w:t>
      </w:r>
    </w:p>
    <w:p w14:paraId="1EF76E1D" w14:textId="2F490CC6"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Приложением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 xml:space="preserve"> в части требований к отчету оценщика;</w:t>
      </w:r>
    </w:p>
    <w:p w14:paraId="121CCC7F" w14:textId="481BBC12"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справедливой стоимости рассчитывается по одному из методов корректировки справедливой стоимости, указанному в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Приложении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w:t>
      </w:r>
    </w:p>
    <w:p w14:paraId="74E039A9"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7C28E16D" w14:textId="59A7E3D4" w:rsidR="00726CFF" w:rsidRPr="00A12F11" w:rsidRDefault="00726CFF"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актива, возникшего в результате совершения сделок с ценными бумагами, заключенных на условиях Т+ (за исключением биржевых операций в режиме безадресных торгов), определяется с учетом порядка, предусмотренного Приложением </w:t>
      </w:r>
      <w:r w:rsidR="00BC6073" w:rsidRPr="00A12F11">
        <w:rPr>
          <w:rFonts w:ascii="Times New Roman" w:eastAsia="Times New Roman" w:hAnsi="Times New Roman" w:cs="Times New Roman"/>
          <w:bCs/>
          <w:color w:val="000000"/>
          <w:sz w:val="24"/>
          <w:szCs w:val="24"/>
          <w:lang w:eastAsia="ru-RU"/>
        </w:rPr>
        <w:t>1</w:t>
      </w:r>
      <w:r w:rsidR="0088150F" w:rsidRPr="00A12F11">
        <w:rPr>
          <w:rFonts w:ascii="Times New Roman" w:eastAsia="Times New Roman" w:hAnsi="Times New Roman" w:cs="Times New Roman"/>
          <w:bCs/>
          <w:color w:val="000000"/>
          <w:sz w:val="24"/>
          <w:szCs w:val="24"/>
          <w:lang w:eastAsia="ru-RU"/>
        </w:rPr>
        <w:t>6</w:t>
      </w:r>
      <w:r w:rsidRPr="00A12F11">
        <w:rPr>
          <w:rFonts w:ascii="Times New Roman" w:eastAsia="Times New Roman" w:hAnsi="Times New Roman" w:cs="Times New Roman"/>
          <w:bCs/>
          <w:color w:val="000000"/>
          <w:sz w:val="24"/>
          <w:szCs w:val="24"/>
          <w:lang w:eastAsia="ru-RU"/>
        </w:rPr>
        <w:t>.</w:t>
      </w:r>
    </w:p>
    <w:p w14:paraId="2146823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A9B60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6FD7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8D5B9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178776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BFEF77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B3FEF9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CA545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D03A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924EB8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555A36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D10D6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64693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0C7D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751E5C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15E10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804C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C40FA4" w14:textId="6479998E" w:rsidR="005732A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12</w:t>
      </w:r>
    </w:p>
    <w:p w14:paraId="7B1B6608" w14:textId="77777777" w:rsidR="00337E7C" w:rsidRDefault="00982ECD" w:rsidP="00337E7C">
      <w:pPr>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Дебиторская задолженность по процентному (купонному) доходу, частичному / полному погашению эмитентом основного долга по долговым ценным бумагам</w:t>
      </w:r>
    </w:p>
    <w:p w14:paraId="5DAAE05E" w14:textId="547A83B4" w:rsidR="00982ECD" w:rsidRPr="00A12F11" w:rsidRDefault="00982ECD" w:rsidP="00337E7C">
      <w:pPr>
        <w:spacing w:before="240" w:line="276" w:lineRule="auto"/>
        <w:ind w:left="426" w:hanging="426"/>
        <w:jc w:val="center"/>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E6011DF"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
          <w:bCs/>
          <w:sz w:val="24"/>
          <w:szCs w:val="24"/>
          <w:lang w:eastAsia="ru-RU"/>
        </w:rPr>
        <w:t xml:space="preserve">Для </w:t>
      </w:r>
      <w:r w:rsidRPr="00A12F11">
        <w:rPr>
          <w:rFonts w:ascii="Times New Roman" w:hAnsi="Times New Roman" w:cs="Times New Roman"/>
          <w:b/>
          <w:sz w:val="24"/>
          <w:szCs w:val="24"/>
        </w:rPr>
        <w:t>дебиторской задолженности по процентному (купонному) доходу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5CA69020" w14:textId="31C31F44"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hAnsi="Times New Roman" w:cs="Times New Roman"/>
          <w:b/>
          <w:sz w:val="24"/>
          <w:szCs w:val="24"/>
        </w:rPr>
        <w:t>Для дебиторской задолженности по частичному/полному погашению эмитентом основного долга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частичного или полного погашения номинала на основании решения о выпуске.</w:t>
      </w:r>
    </w:p>
    <w:p w14:paraId="259342D4" w14:textId="5CD13C69"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65878190"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Дата исполнения  обязательств эмитентом, подтвержденной банковской выпиской с </w:t>
      </w:r>
      <w:r w:rsidRPr="00A12F11">
        <w:rPr>
          <w:rFonts w:ascii="Times New Roman" w:hAnsi="Times New Roman" w:cs="Times New Roman"/>
          <w:sz w:val="24"/>
          <w:szCs w:val="24"/>
        </w:rPr>
        <w:t>расчетного счета управляющей компании Д.У. ПИФ</w:t>
      </w:r>
      <w:r w:rsidRPr="00A12F11">
        <w:rPr>
          <w:rFonts w:ascii="Times New Roman" w:eastAsia="Times New Roman" w:hAnsi="Times New Roman" w:cs="Times New Roman"/>
          <w:bCs/>
          <w:sz w:val="24"/>
          <w:szCs w:val="24"/>
          <w:lang w:eastAsia="ru-RU"/>
        </w:rPr>
        <w:t xml:space="preserve"> или отчетом брокера ПИФ;</w:t>
      </w:r>
    </w:p>
    <w:p w14:paraId="62077311" w14:textId="148F7D13"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p w14:paraId="5FBDFD8B" w14:textId="7F3F5D1B"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и сроки квалификации дебиторской задолженности как   операционной</w:t>
      </w:r>
    </w:p>
    <w:p w14:paraId="29710828"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В отсутствие признаков обесценения:</w:t>
      </w:r>
    </w:p>
    <w:p w14:paraId="7052BC8C"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p>
    <w:p w14:paraId="311834C8"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7 рабочих дней с даты признания дебиторской задолженности российских эмитентов, включая задолженность эмитентов – международных корпораций;</w:t>
      </w:r>
    </w:p>
    <w:p w14:paraId="08ADA21E"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10 рабочих дней с даты признания дебиторской задолженности иностранных эмитентов. </w:t>
      </w:r>
    </w:p>
    <w:p w14:paraId="5EE51754" w14:textId="54DE1607"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1E5516C6"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всего срока признания дебиторской задолженности операционной:</w:t>
      </w:r>
    </w:p>
    <w:p w14:paraId="4157771B" w14:textId="77777777" w:rsidR="00982ECD" w:rsidRPr="00A12F11" w:rsidRDefault="00982ECD" w:rsidP="00337E7C">
      <w:pPr>
        <w:pStyle w:val="ac"/>
        <w:numPr>
          <w:ilvl w:val="0"/>
          <w:numId w:val="34"/>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процентному (купонному) доходу</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w:t>
      </w:r>
    </w:p>
    <w:p w14:paraId="53812418"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частичному/полному погашению эмитентом основного долга</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w:t>
      </w:r>
    </w:p>
    <w:p w14:paraId="331A88A1" w14:textId="45CA7E39" w:rsidR="004D5E2F" w:rsidRPr="00A12F11" w:rsidRDefault="00982ECD" w:rsidP="00337E7C">
      <w:pPr>
        <w:spacing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 xml:space="preserve">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w:t>
      </w:r>
      <w:r w:rsidR="00F1310D" w:rsidRPr="00A12F11">
        <w:rPr>
          <w:rFonts w:ascii="Times New Roman" w:hAnsi="Times New Roman" w:cs="Times New Roman"/>
          <w:sz w:val="24"/>
          <w:szCs w:val="24"/>
        </w:rPr>
        <w:t>5</w:t>
      </w:r>
    </w:p>
    <w:p w14:paraId="3FBACD91" w14:textId="0DA175E8" w:rsidR="006530C8" w:rsidRPr="00A12F11" w:rsidRDefault="00712D10" w:rsidP="00A12F11">
      <w:pPr>
        <w:spacing w:before="240" w:line="276" w:lineRule="auto"/>
        <w:ind w:left="426" w:hanging="426"/>
        <w:jc w:val="right"/>
        <w:rPr>
          <w:rFonts w:ascii="Times New Roman" w:eastAsia="Batang" w:hAnsi="Times New Roman" w:cs="Times New Roman"/>
          <w:b/>
          <w:color w:val="000000"/>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13</w:t>
      </w:r>
    </w:p>
    <w:p w14:paraId="066F346D" w14:textId="15DA12BA" w:rsidR="00DC1191" w:rsidRPr="00A12F11" w:rsidRDefault="006530C8" w:rsidP="00A12F11">
      <w:pPr>
        <w:spacing w:before="240" w:line="276" w:lineRule="auto"/>
        <w:ind w:left="426" w:hanging="426"/>
        <w:jc w:val="center"/>
        <w:rPr>
          <w:rFonts w:ascii="Times New Roman" w:hAnsi="Times New Roman" w:cs="Times New Roman"/>
          <w:sz w:val="24"/>
          <w:szCs w:val="24"/>
        </w:rPr>
      </w:pPr>
      <w:bookmarkStart w:id="11" w:name="_Hlk75942977"/>
      <w:r w:rsidRPr="00A12F11">
        <w:rPr>
          <w:rFonts w:ascii="Times New Roman" w:eastAsiaTheme="majorEastAsia" w:hAnsi="Times New Roman" w:cs="Times New Roman"/>
          <w:b/>
          <w:caps/>
          <w:color w:val="000000" w:themeColor="text1"/>
          <w:sz w:val="24"/>
          <w:szCs w:val="24"/>
        </w:rPr>
        <w:t>Дебиторская задолженность по выплате дивидендов по акциям, дохода по депозитарным распискам</w:t>
      </w:r>
    </w:p>
    <w:bookmarkEnd w:id="11"/>
    <w:p w14:paraId="6A3918BA" w14:textId="5DF2E676"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72FE47B6"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депозитарные расписки российских/иностранных эмитентов,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0120ABA"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6F3253EA" w14:textId="47B5C30C" w:rsidR="006530C8" w:rsidRPr="00A12F11" w:rsidRDefault="001975FC"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bookmarkStart w:id="12" w:name="_Hlk75943017"/>
      <w:r w:rsidRPr="00A12F11">
        <w:rPr>
          <w:rFonts w:ascii="Times New Roman" w:hAnsi="Times New Roman" w:cs="Times New Roman"/>
          <w:sz w:val="24"/>
          <w:szCs w:val="24"/>
        </w:rPr>
        <w:t>Дебиторская задолженность по дивидендам к получению по ценным бумагам иностранных эмитентов признается в дату, начиная с которой совершение сделок на бирже не приводит к попаданию в реестр акционеров, раскрываемую информационной системой «Блумберг» (Bloomberg)</w:t>
      </w:r>
      <w:r w:rsidR="006530C8" w:rsidRPr="00A12F11">
        <w:rPr>
          <w:rFonts w:ascii="Times New Roman" w:hAnsi="Times New Roman" w:cs="Times New Roman"/>
          <w:sz w:val="24"/>
          <w:szCs w:val="24"/>
        </w:rPr>
        <w:t>;</w:t>
      </w:r>
    </w:p>
    <w:bookmarkEnd w:id="12"/>
    <w:p w14:paraId="78CA29BF"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НФИ – дата,  на которую определяются лица, имеющие право на получение дохода в соответствии с информацией эмитента или с информацией «Блумберг» (Bloomberg);</w:t>
      </w:r>
    </w:p>
    <w:p w14:paraId="4A80144F" w14:textId="53547831" w:rsidR="006530C8" w:rsidRPr="00A12F11" w:rsidRDefault="006530C8"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p w14:paraId="6A93C13F" w14:textId="193EB043"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0E3B496" w14:textId="3C6A9942" w:rsidR="006530C8" w:rsidRPr="00A12F11" w:rsidRDefault="00DC549F" w:rsidP="00A12F11">
      <w:p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исполнения обязательств эмитентом, подтвержденное банковской выпиской с расчетного счета управляющей компании Д.У. ПИФ или отчетом брокера ПИФ;</w:t>
      </w:r>
    </w:p>
    <w:p w14:paraId="14FCCC50" w14:textId="1CADE764" w:rsidR="006530C8" w:rsidRPr="00A12F11" w:rsidRDefault="00DC549F"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ликвидации эмитента</w:t>
      </w:r>
      <w:r w:rsidR="00AE71F5" w:rsidRPr="00A12F11">
        <w:rPr>
          <w:rFonts w:ascii="Times New Roman" w:hAnsi="Times New Roman" w:cs="Times New Roman"/>
          <w:sz w:val="24"/>
          <w:szCs w:val="24"/>
        </w:rPr>
        <w:t>, согласно выписке из ЕГРЮЛ (или выписки из соответствующего уполномоченного органа иностранного государства)</w:t>
      </w:r>
      <w:r w:rsidR="006530C8" w:rsidRPr="00A12F11">
        <w:rPr>
          <w:rFonts w:ascii="Times New Roman" w:hAnsi="Times New Roman" w:cs="Times New Roman"/>
          <w:sz w:val="24"/>
          <w:szCs w:val="24"/>
        </w:rPr>
        <w:t>.</w:t>
      </w:r>
    </w:p>
    <w:p w14:paraId="354C9459" w14:textId="0D0E2AF8"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0ABF5475" w14:textId="77777777"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депозитарным распискам российских эмитентов является операционной задолженностью в течение 25 рабочих дней с даты признания дебиторской задолженности. </w:t>
      </w:r>
    </w:p>
    <w:p w14:paraId="4D21A964" w14:textId="26F5C786"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иностранных эмитентов,  депозитарным распискам иностранных эмитентов является операционной задолженностью в течение 25 рабочих дней с даты признания дебиторской задолженности. </w:t>
      </w:r>
    </w:p>
    <w:p w14:paraId="1F6C4FDA" w14:textId="77777777"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этого срока её справедливая стоимость определяется исходя из:</w:t>
      </w:r>
    </w:p>
    <w:p w14:paraId="52E5BEBA" w14:textId="77777777" w:rsidR="004D5E2F"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количества акций/депозитарных расписок, учтенных на счете депо ПИФ на дату, на которую определяются лица, имеющие право на получение дивидендов/доходов и объявленного размера дивиденда/дохода, приходящегося на одну ценную бумагу соответствующей категории (типа) за вычетом налога на прибыль с данного дохода в случае его удержания у источника выплат;</w:t>
      </w:r>
    </w:p>
    <w:p w14:paraId="44641305" w14:textId="1F3517FB"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4E3A7F62" w14:textId="226FFDCE"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дивидендов/доходов на счет Фонда.</w:t>
      </w:r>
    </w:p>
    <w:p w14:paraId="3D68995C" w14:textId="081987B7" w:rsidR="00F975D0" w:rsidRPr="00A12F11" w:rsidRDefault="00F975D0"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изменения эмитентом депозитарных расписок величины дивидендов и (или) расходов (комиссий) на одну расписку, указанная дебиторская задолженность подлежит корректировке на дату опубликования соответствующей информации</w:t>
      </w:r>
    </w:p>
    <w:p w14:paraId="19F22D38" w14:textId="2DC13F06" w:rsidR="004D5E2F"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дебиторской задолженности равна 0 (ноль) с даты официального опубликования сообщения о банкротстве эмитента/лица, обязанного по ценной бумаге.</w:t>
      </w:r>
    </w:p>
    <w:p w14:paraId="564AF359"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BCE0F73"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2F6F50B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D277566"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294F6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F9BA321"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838A8BF" w14:textId="2F67DAB5" w:rsidR="00745D70" w:rsidRDefault="00745D70" w:rsidP="00A12F11">
      <w:pPr>
        <w:spacing w:before="240" w:line="276" w:lineRule="auto"/>
        <w:ind w:left="426" w:hanging="426"/>
        <w:jc w:val="right"/>
        <w:rPr>
          <w:rFonts w:ascii="Times New Roman" w:hAnsi="Times New Roman" w:cs="Times New Roman"/>
          <w:b/>
          <w:sz w:val="24"/>
          <w:szCs w:val="24"/>
        </w:rPr>
      </w:pPr>
    </w:p>
    <w:p w14:paraId="3E3E314A" w14:textId="72F5AE0F" w:rsidR="00337E7C" w:rsidRDefault="00337E7C" w:rsidP="00A12F11">
      <w:pPr>
        <w:spacing w:before="240" w:line="276" w:lineRule="auto"/>
        <w:ind w:left="426" w:hanging="426"/>
        <w:jc w:val="right"/>
        <w:rPr>
          <w:rFonts w:ascii="Times New Roman" w:hAnsi="Times New Roman" w:cs="Times New Roman"/>
          <w:b/>
          <w:sz w:val="24"/>
          <w:szCs w:val="24"/>
        </w:rPr>
      </w:pPr>
    </w:p>
    <w:p w14:paraId="56236EE8" w14:textId="2862A50E" w:rsidR="00337E7C" w:rsidRDefault="00337E7C" w:rsidP="00A12F11">
      <w:pPr>
        <w:spacing w:before="240" w:line="276" w:lineRule="auto"/>
        <w:ind w:left="426" w:hanging="426"/>
        <w:jc w:val="right"/>
        <w:rPr>
          <w:rFonts w:ascii="Times New Roman" w:hAnsi="Times New Roman" w:cs="Times New Roman"/>
          <w:b/>
          <w:sz w:val="24"/>
          <w:szCs w:val="24"/>
        </w:rPr>
      </w:pPr>
    </w:p>
    <w:p w14:paraId="6B62DDB4" w14:textId="4AE03781" w:rsidR="00337E7C" w:rsidRDefault="00337E7C" w:rsidP="00A12F11">
      <w:pPr>
        <w:spacing w:before="240" w:line="276" w:lineRule="auto"/>
        <w:ind w:left="426" w:hanging="426"/>
        <w:jc w:val="right"/>
        <w:rPr>
          <w:rFonts w:ascii="Times New Roman" w:hAnsi="Times New Roman" w:cs="Times New Roman"/>
          <w:b/>
          <w:sz w:val="24"/>
          <w:szCs w:val="24"/>
        </w:rPr>
      </w:pPr>
    </w:p>
    <w:p w14:paraId="16BE261C" w14:textId="17C8B646" w:rsidR="00337E7C" w:rsidRDefault="00337E7C" w:rsidP="00A12F11">
      <w:pPr>
        <w:spacing w:before="240" w:line="276" w:lineRule="auto"/>
        <w:ind w:left="426" w:hanging="426"/>
        <w:jc w:val="right"/>
        <w:rPr>
          <w:rFonts w:ascii="Times New Roman" w:hAnsi="Times New Roman" w:cs="Times New Roman"/>
          <w:b/>
          <w:sz w:val="24"/>
          <w:szCs w:val="24"/>
        </w:rPr>
      </w:pPr>
    </w:p>
    <w:p w14:paraId="0A055474" w14:textId="0985A263" w:rsidR="00337E7C" w:rsidRDefault="00337E7C" w:rsidP="00A12F11">
      <w:pPr>
        <w:spacing w:before="240" w:line="276" w:lineRule="auto"/>
        <w:ind w:left="426" w:hanging="426"/>
        <w:jc w:val="right"/>
        <w:rPr>
          <w:rFonts w:ascii="Times New Roman" w:hAnsi="Times New Roman" w:cs="Times New Roman"/>
          <w:b/>
          <w:sz w:val="24"/>
          <w:szCs w:val="24"/>
        </w:rPr>
      </w:pPr>
    </w:p>
    <w:p w14:paraId="66B364F0" w14:textId="0B343524" w:rsidR="00337E7C" w:rsidRDefault="00337E7C" w:rsidP="00A12F11">
      <w:pPr>
        <w:spacing w:before="240" w:line="276" w:lineRule="auto"/>
        <w:ind w:left="426" w:hanging="426"/>
        <w:jc w:val="right"/>
        <w:rPr>
          <w:rFonts w:ascii="Times New Roman" w:hAnsi="Times New Roman" w:cs="Times New Roman"/>
          <w:b/>
          <w:sz w:val="24"/>
          <w:szCs w:val="24"/>
        </w:rPr>
      </w:pPr>
    </w:p>
    <w:p w14:paraId="6CE75368" w14:textId="0177B8DE" w:rsidR="00337E7C" w:rsidRDefault="00337E7C" w:rsidP="00A12F11">
      <w:pPr>
        <w:spacing w:before="240" w:line="276" w:lineRule="auto"/>
        <w:ind w:left="426" w:hanging="426"/>
        <w:jc w:val="right"/>
        <w:rPr>
          <w:rFonts w:ascii="Times New Roman" w:hAnsi="Times New Roman" w:cs="Times New Roman"/>
          <w:b/>
          <w:sz w:val="24"/>
          <w:szCs w:val="24"/>
        </w:rPr>
      </w:pPr>
    </w:p>
    <w:p w14:paraId="68FBC854" w14:textId="1E413AC0" w:rsidR="00337E7C" w:rsidRDefault="00337E7C" w:rsidP="00A12F11">
      <w:pPr>
        <w:spacing w:before="240" w:line="276" w:lineRule="auto"/>
        <w:ind w:left="426" w:hanging="426"/>
        <w:jc w:val="right"/>
        <w:rPr>
          <w:rFonts w:ascii="Times New Roman" w:hAnsi="Times New Roman" w:cs="Times New Roman"/>
          <w:b/>
          <w:sz w:val="24"/>
          <w:szCs w:val="24"/>
        </w:rPr>
      </w:pPr>
    </w:p>
    <w:p w14:paraId="47779CD5" w14:textId="52C8835A" w:rsidR="00337E7C" w:rsidRDefault="00337E7C" w:rsidP="00A12F11">
      <w:pPr>
        <w:spacing w:before="240" w:line="276" w:lineRule="auto"/>
        <w:ind w:left="426" w:hanging="426"/>
        <w:jc w:val="right"/>
        <w:rPr>
          <w:rFonts w:ascii="Times New Roman" w:hAnsi="Times New Roman" w:cs="Times New Roman"/>
          <w:b/>
          <w:sz w:val="24"/>
          <w:szCs w:val="24"/>
        </w:rPr>
      </w:pPr>
    </w:p>
    <w:p w14:paraId="7163E3B7" w14:textId="2023E363" w:rsidR="00337E7C" w:rsidRDefault="00337E7C" w:rsidP="00A12F11">
      <w:pPr>
        <w:spacing w:before="240" w:line="276" w:lineRule="auto"/>
        <w:ind w:left="426" w:hanging="426"/>
        <w:jc w:val="right"/>
        <w:rPr>
          <w:rFonts w:ascii="Times New Roman" w:hAnsi="Times New Roman" w:cs="Times New Roman"/>
          <w:b/>
          <w:sz w:val="24"/>
          <w:szCs w:val="24"/>
        </w:rPr>
      </w:pPr>
    </w:p>
    <w:p w14:paraId="1BD702D7" w14:textId="2294BC96" w:rsidR="00337E7C" w:rsidRDefault="00337E7C" w:rsidP="00A12F11">
      <w:pPr>
        <w:spacing w:before="240" w:line="276" w:lineRule="auto"/>
        <w:ind w:left="426" w:hanging="426"/>
        <w:jc w:val="right"/>
        <w:rPr>
          <w:rFonts w:ascii="Times New Roman" w:hAnsi="Times New Roman" w:cs="Times New Roman"/>
          <w:b/>
          <w:sz w:val="24"/>
          <w:szCs w:val="24"/>
        </w:rPr>
      </w:pPr>
    </w:p>
    <w:p w14:paraId="3F138F19" w14:textId="6C658C4B" w:rsidR="00337E7C" w:rsidRDefault="00337E7C" w:rsidP="00A12F11">
      <w:pPr>
        <w:spacing w:before="240" w:line="276" w:lineRule="auto"/>
        <w:ind w:left="426" w:hanging="426"/>
        <w:jc w:val="right"/>
        <w:rPr>
          <w:rFonts w:ascii="Times New Roman" w:hAnsi="Times New Roman" w:cs="Times New Roman"/>
          <w:b/>
          <w:sz w:val="24"/>
          <w:szCs w:val="24"/>
        </w:rPr>
      </w:pPr>
    </w:p>
    <w:p w14:paraId="3DD36D3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E795902" w14:textId="50CDF4E4" w:rsidR="00712D10" w:rsidRPr="00A12F11" w:rsidRDefault="00712D10" w:rsidP="00A12F11">
      <w:pPr>
        <w:spacing w:before="240" w:line="276" w:lineRule="auto"/>
        <w:ind w:left="426" w:hanging="426"/>
        <w:jc w:val="right"/>
        <w:rPr>
          <w:rFonts w:ascii="Times New Roman" w:hAnsi="Times New Roman" w:cs="Times New Roman"/>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14</w:t>
      </w:r>
    </w:p>
    <w:p w14:paraId="539817FE" w14:textId="4B7D772A" w:rsidR="0011535F" w:rsidRPr="00A12F11" w:rsidRDefault="00C72BAA"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r w:rsidR="0011535F" w:rsidRPr="00A12F11">
        <w:rPr>
          <w:rFonts w:ascii="Times New Roman" w:eastAsiaTheme="majorEastAsia" w:hAnsi="Times New Roman" w:cs="Times New Roman"/>
          <w:b/>
          <w:caps/>
          <w:color w:val="000000" w:themeColor="text1"/>
          <w:sz w:val="24"/>
          <w:szCs w:val="24"/>
        </w:rPr>
        <w:t>, по доходам от долевого участия в уставном капитале.</w:t>
      </w:r>
    </w:p>
    <w:p w14:paraId="03EA268B" w14:textId="51F232EA" w:rsidR="00C72BAA" w:rsidRPr="00A12F11" w:rsidRDefault="00C72BAA"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6F675202"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паи (акции) иностранного инвестиционного фонда, принятые на обслуживание НКО АО НРД -  </w:t>
      </w: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сообщении </w:t>
      </w:r>
      <w:r w:rsidRPr="00A12F11">
        <w:rPr>
          <w:rFonts w:ascii="Times New Roman" w:hAnsi="Times New Roman" w:cs="Times New Roman"/>
          <w:bCs/>
          <w:color w:val="000000" w:themeColor="text1"/>
          <w:sz w:val="24"/>
          <w:szCs w:val="24"/>
          <w:lang w:eastAsia="ru-RU"/>
        </w:rPr>
        <w:t>НКО АО НРД</w:t>
      </w:r>
      <w:r w:rsidRPr="00A12F11">
        <w:rPr>
          <w:rFonts w:ascii="Times New Roman" w:hAnsi="Times New Roman" w:cs="Times New Roman"/>
          <w:color w:val="000000" w:themeColor="text1"/>
          <w:sz w:val="24"/>
          <w:szCs w:val="24"/>
          <w:lang w:eastAsia="ru-RU"/>
        </w:rPr>
        <w:t xml:space="preserve"> о выплате дохода </w:t>
      </w:r>
      <w:r w:rsidRPr="00A12F11">
        <w:rPr>
          <w:rFonts w:ascii="Times New Roman" w:hAnsi="Times New Roman" w:cs="Times New Roman"/>
          <w:bCs/>
          <w:color w:val="000000" w:themeColor="text1"/>
          <w:sz w:val="24"/>
          <w:szCs w:val="24"/>
          <w:lang w:eastAsia="ru-RU"/>
        </w:rPr>
        <w:t>по паям (акциям) инвестиционного фонда ;</w:t>
      </w:r>
    </w:p>
    <w:p w14:paraId="69C1F73B"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паи (акции) иностранного инвестиционного фонда, не принятые на обслуживание НКО АО НРД -  дата, с которой ценные бумаги начинают торговаться без учета объявленных дивидендов  (</w:t>
      </w:r>
      <w:r w:rsidRPr="00A12F11">
        <w:rPr>
          <w:rFonts w:ascii="Times New Roman" w:hAnsi="Times New Roman" w:cs="Times New Roman"/>
          <w:bCs/>
          <w:color w:val="000000" w:themeColor="text1"/>
          <w:sz w:val="24"/>
          <w:szCs w:val="24"/>
          <w:lang w:val="en-US" w:eastAsia="ru-RU"/>
        </w:rPr>
        <w:t>DVD</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EX</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DT</w:t>
      </w:r>
      <w:r w:rsidRPr="00A12F11">
        <w:rPr>
          <w:rFonts w:ascii="Times New Roman" w:hAnsi="Times New Roman" w:cs="Times New Roman"/>
          <w:bCs/>
          <w:color w:val="000000" w:themeColor="text1"/>
          <w:sz w:val="24"/>
          <w:szCs w:val="24"/>
          <w:lang w:eastAsia="ru-RU"/>
        </w:rPr>
        <w:t xml:space="preserve">) в соответствии с  информацией </w:t>
      </w:r>
      <w:r w:rsidRPr="00A12F11">
        <w:rPr>
          <w:rFonts w:ascii="Times New Roman" w:hAnsi="Times New Roman" w:cs="Times New Roman"/>
          <w:color w:val="000000" w:themeColor="text1"/>
          <w:sz w:val="24"/>
          <w:szCs w:val="24"/>
          <w:lang w:eastAsia="ru-RU"/>
        </w:rPr>
        <w:t>«</w:t>
      </w:r>
      <w:r w:rsidRPr="00A12F11">
        <w:rPr>
          <w:rFonts w:ascii="Times New Roman" w:hAnsi="Times New Roman" w:cs="Times New Roman"/>
          <w:bCs/>
          <w:color w:val="000000" w:themeColor="text1"/>
          <w:sz w:val="24"/>
          <w:szCs w:val="24"/>
          <w:lang w:eastAsia="ru-RU"/>
        </w:rPr>
        <w:t>Блумберг</w:t>
      </w:r>
      <w:r w:rsidRPr="00A12F11">
        <w:rPr>
          <w:rFonts w:ascii="Times New Roman" w:hAnsi="Times New Roman" w:cs="Times New Roman"/>
          <w:color w:val="000000" w:themeColor="text1"/>
          <w:sz w:val="24"/>
          <w:szCs w:val="24"/>
          <w:lang w:eastAsia="ru-RU"/>
        </w:rPr>
        <w:t>» (Bloomberg);</w:t>
      </w:r>
    </w:p>
    <w:p w14:paraId="513690D6"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(для неквалифицированных инвесторов); </w:t>
      </w:r>
    </w:p>
    <w:p w14:paraId="355F4BFE"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официальном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предоставленном управляющей компанией </w:t>
      </w:r>
      <w:r w:rsidRPr="00A12F11">
        <w:rPr>
          <w:rFonts w:ascii="Times New Roman" w:hAnsi="Times New Roman" w:cs="Times New Roman"/>
          <w:color w:val="000000" w:themeColor="text1"/>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3F3187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принятия решения общего собрания о выплате дохода от долевого участия в уставном капитале;</w:t>
      </w:r>
    </w:p>
    <w:p w14:paraId="3FFEEBE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p w14:paraId="09B9EB8D" w14:textId="31AD69EB" w:rsidR="00C72BAA" w:rsidRPr="00A12F11" w:rsidRDefault="00C72BAA"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p>
    <w:p w14:paraId="64C52427" w14:textId="7C0BF9C9"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5E253B8E"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обязательств по выплате дохода, подтвержденное банковской выпиской с банковского счета управляющей компании Д.У. ПИФ /отчетом брокера ПИФ;</w:t>
      </w:r>
    </w:p>
    <w:p w14:paraId="556AAACC"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лица, обязанного по паям (акциям) иностранного инвестиционного фонда;</w:t>
      </w:r>
    </w:p>
    <w:p w14:paraId="782749BE" w14:textId="60868595"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исключения из реестра паевого инвестиционного фонда;</w:t>
      </w:r>
    </w:p>
    <w:p w14:paraId="727A8ADA" w14:textId="062AF213"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юридического лица, чьим участником является ПИФ.</w:t>
      </w:r>
    </w:p>
    <w:p w14:paraId="389574F5" w14:textId="77777777" w:rsidR="00A10DB7" w:rsidRPr="00A12F11" w:rsidRDefault="00A10DB7" w:rsidP="00A12F11">
      <w:pPr>
        <w:pStyle w:val="ac"/>
        <w:suppressAutoHyphens/>
        <w:autoSpaceDE w:val="0"/>
        <w:autoSpaceDN w:val="0"/>
        <w:adjustRightInd w:val="0"/>
        <w:spacing w:before="240" w:line="276" w:lineRule="auto"/>
        <w:ind w:left="426"/>
        <w:jc w:val="both"/>
        <w:rPr>
          <w:rFonts w:ascii="Times New Roman" w:hAnsi="Times New Roman" w:cs="Times New Roman"/>
          <w:bCs/>
          <w:color w:val="000000" w:themeColor="text1"/>
          <w:sz w:val="24"/>
          <w:szCs w:val="24"/>
          <w:lang w:eastAsia="ru-RU"/>
        </w:rPr>
      </w:pPr>
    </w:p>
    <w:p w14:paraId="55BB1471" w14:textId="40F2CCB8"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5099B5A7"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паям паевых инвестиционных фондов является операционной задолженностью в течение 25 рабочих дней с даты признания дебиторской задолженности. </w:t>
      </w:r>
    </w:p>
    <w:p w14:paraId="51A843BA"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акциям (паям) иностранного инвестиционного фонда является операционной задолженностью  в течение 25 рабочих дней с даты признания дебиторской задолженности. </w:t>
      </w:r>
    </w:p>
    <w:p w14:paraId="3F3B0924"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Дебиторская задолженность по выплате дохода от участия в уставном капитале (доли ООО или права участия в иностранных компаниях) при отсутствии признаков обесценения, если срок выплаты дохода, согласно решению Общества не превышает 25 рабочих дней,  является  операционной. Обесценение производится с первого дня просрочки обязательств обществом.</w:t>
      </w:r>
    </w:p>
    <w:p w14:paraId="6DAE35D4" w14:textId="77777777" w:rsidR="00C72BAA" w:rsidRPr="00A12F11" w:rsidRDefault="00C72BAA"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 течение этого срока:</w:t>
      </w:r>
    </w:p>
    <w:p w14:paraId="4F53F74E"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Справедливая стоимость дебиторской задолженности по доходу по инвестиционным паям паевого инвестиционного фонда  определяется исходя из количества инвестиционных паев,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инвестиционный пай;</w:t>
      </w:r>
    </w:p>
    <w:p w14:paraId="63435DC0"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пай (акцию), за вычетом налога на прибыль с данного дохода в случае его удержания у источника выплаты. </w:t>
      </w:r>
    </w:p>
    <w:p w14:paraId="2A70769A"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782C258"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дохода на счет Фонда;</w:t>
      </w:r>
    </w:p>
    <w:p w14:paraId="2E667FFD"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от долевого участия в уставном капитале определяется в сумме установленного в решении общего собрания участников дохода на долю владения. </w:t>
      </w:r>
    </w:p>
    <w:p w14:paraId="3E784A13"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16271F4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54C31F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7B1D3A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F9582E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50F837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D1F71B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F2EAC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B1E174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308EE5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100DD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2C35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1FF8F8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857013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783B21A" w14:textId="5B6CCF3B" w:rsidR="00C72BAA"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15</w:t>
      </w:r>
    </w:p>
    <w:p w14:paraId="443BAB6F" w14:textId="6F7BF23A" w:rsidR="006530C8" w:rsidRPr="00A12F11" w:rsidRDefault="00D24CCC"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Денежные средства, находящиеся у профессиональных участников рынка ценных бумаг (далее – брокер)</w:t>
      </w:r>
      <w:r w:rsidR="00E70884" w:rsidRPr="00A12F11">
        <w:rPr>
          <w:rFonts w:ascii="Times New Roman" w:eastAsiaTheme="majorEastAsia" w:hAnsi="Times New Roman" w:cs="Times New Roman"/>
          <w:b/>
          <w:caps/>
          <w:color w:val="000000" w:themeColor="text1"/>
          <w:sz w:val="24"/>
          <w:szCs w:val="24"/>
        </w:rPr>
        <w:t xml:space="preserve"> и в НКО НКЦ (АО)</w:t>
      </w:r>
    </w:p>
    <w:p w14:paraId="7C5C3E9F" w14:textId="7362E75F" w:rsidR="006530C8" w:rsidRPr="00A12F11" w:rsidRDefault="006328C9"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45B8D22E"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специальный брокерский счет на основании отчета брокера</w:t>
      </w:r>
    </w:p>
    <w:p w14:paraId="34532F22" w14:textId="3E3E7FAE"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счет в НКО НКЦ (АО), открытый для ПИФ.</w:t>
      </w:r>
    </w:p>
    <w:p w14:paraId="7EB50E9F" w14:textId="1C122930"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79A3EA53"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брокером обязательств по перечислению денежных средств со специального брокерского счета/ вывод денежных средств со счета в НКО НКЦ (АО);</w:t>
      </w:r>
    </w:p>
    <w:p w14:paraId="20615A3B"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FC2D24D" w14:textId="181B3467"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p w14:paraId="66B617FA" w14:textId="6618C2A8"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4885870A"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денежных средств, находящихся у брокера/ на счетах в НКО НКЦ (АО) определяется в сумме остатка на указанных счетах. </w:t>
      </w:r>
    </w:p>
    <w:p w14:paraId="459A7016"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При этом в части денежных средств, подлежащих  выводу со специального брокерского счета  или со счёта в НКО НКЦ (АО), дебиторская задолженность  является операционной в течение 3 рабочих дней с даты подачи  соответствующего распоряжения.</w:t>
      </w:r>
    </w:p>
    <w:p w14:paraId="083C5787" w14:textId="77777777" w:rsidR="006328C9" w:rsidRPr="00A12F11" w:rsidRDefault="006328C9" w:rsidP="00A12F11">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Cs/>
          <w:sz w:val="24"/>
          <w:szCs w:val="24"/>
        </w:rPr>
        <w:t>При возникновении признаков обесценения или по окончании срока признания  дебиторской задолженности операционной, ее справедливая стоимость корректируется в соответствии с  Приложением 5.</w:t>
      </w:r>
    </w:p>
    <w:p w14:paraId="1023E1EF" w14:textId="0DF68002" w:rsidR="006328C9" w:rsidRPr="00A12F11" w:rsidRDefault="006328C9"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hAnsi="Times New Roman" w:cs="Times New Roman"/>
          <w:bCs/>
          <w:color w:val="000000" w:themeColor="text1"/>
          <w:sz w:val="24"/>
          <w:szCs w:val="24"/>
          <w:lang w:eastAsia="ru-RU"/>
        </w:rPr>
        <w:t xml:space="preserve"> </w:t>
      </w:r>
      <w:r w:rsidRPr="00A12F11" w:rsidDel="00CC2DFF">
        <w:rPr>
          <w:rFonts w:ascii="Times New Roman" w:hAnsi="Times New Roman" w:cs="Times New Roman"/>
          <w:bCs/>
          <w:color w:val="000000" w:themeColor="text1"/>
          <w:sz w:val="24"/>
          <w:szCs w:val="24"/>
          <w:lang w:eastAsia="ru-RU"/>
        </w:rPr>
        <w:t>Данные о неисполнении брокером</w:t>
      </w:r>
      <w:r w:rsidRPr="00A12F11">
        <w:rPr>
          <w:rFonts w:ascii="Times New Roman" w:hAnsi="Times New Roman" w:cs="Times New Roman"/>
          <w:bCs/>
          <w:color w:val="000000" w:themeColor="text1"/>
          <w:sz w:val="24"/>
          <w:szCs w:val="24"/>
          <w:lang w:eastAsia="ru-RU"/>
        </w:rPr>
        <w:t>/НКО НКЦ (АО)</w:t>
      </w:r>
      <w:r w:rsidRPr="00A12F11" w:rsidDel="00CC2DFF">
        <w:rPr>
          <w:rFonts w:ascii="Times New Roman" w:hAnsi="Times New Roman" w:cs="Times New Roman"/>
          <w:bCs/>
          <w:color w:val="000000" w:themeColor="text1"/>
          <w:sz w:val="24"/>
          <w:szCs w:val="24"/>
          <w:lang w:eastAsia="ru-RU"/>
        </w:rPr>
        <w:t xml:space="preserve"> </w:t>
      </w:r>
      <w:r w:rsidRPr="00A12F11">
        <w:rPr>
          <w:rFonts w:ascii="Times New Roman" w:hAnsi="Times New Roman" w:cs="Times New Roman"/>
          <w:bCs/>
          <w:color w:val="000000" w:themeColor="text1"/>
          <w:sz w:val="24"/>
          <w:szCs w:val="24"/>
          <w:lang w:eastAsia="ru-RU"/>
        </w:rPr>
        <w:t>распоряжения</w:t>
      </w:r>
      <w:r w:rsidRPr="00A12F11" w:rsidDel="00CC2DFF">
        <w:rPr>
          <w:rFonts w:ascii="Times New Roman" w:hAnsi="Times New Roman" w:cs="Times New Roman"/>
          <w:bCs/>
          <w:color w:val="000000" w:themeColor="text1"/>
          <w:sz w:val="24"/>
          <w:szCs w:val="24"/>
          <w:lang w:eastAsia="ru-RU"/>
        </w:rPr>
        <w:t xml:space="preserve">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3BB2A40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BF6362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5C586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D8C318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57845C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DFBBF2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2DDE92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21A2ACE" w14:textId="4DE12F3C" w:rsidR="009F4B14"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16</w:t>
      </w:r>
    </w:p>
    <w:p w14:paraId="690852A6" w14:textId="62E6A9FF" w:rsidR="006530C8" w:rsidRPr="00A12F11" w:rsidRDefault="00C661ED" w:rsidP="00A12F11">
      <w:pPr>
        <w:spacing w:before="240" w:line="276" w:lineRule="auto"/>
        <w:ind w:left="426" w:hanging="426"/>
        <w:jc w:val="center"/>
        <w:rPr>
          <w:rFonts w:ascii="Times New Roman" w:eastAsia="Batang" w:hAnsi="Times New Roman" w:cs="Times New Roman"/>
          <w:color w:val="000000"/>
          <w:sz w:val="24"/>
          <w:szCs w:val="24"/>
        </w:rPr>
      </w:pPr>
      <w:r w:rsidRPr="00A12F11">
        <w:rPr>
          <w:rFonts w:ascii="Times New Roman" w:eastAsiaTheme="majorEastAsia" w:hAnsi="Times New Roman" w:cs="Times New Roman"/>
          <w:b/>
          <w:caps/>
          <w:color w:val="000000" w:themeColor="text1"/>
          <w:sz w:val="24"/>
          <w:szCs w:val="24"/>
        </w:rPr>
        <w:t>Задолженность по сделкам с ценными бумагами, заключенным на условиях, отличных от стандартных  (не более Т+3)</w:t>
      </w:r>
    </w:p>
    <w:p w14:paraId="60B3B4B7" w14:textId="3CD3C529" w:rsidR="006530C8"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Задолженность по сделкам с ценными бумагами, заключенным на условиях Т+</w:t>
      </w:r>
    </w:p>
    <w:p w14:paraId="233F8732" w14:textId="3DC30BF3" w:rsidR="009F4B14" w:rsidRPr="00A12F11" w:rsidRDefault="009F4B14"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6D0445B"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заключения договора  по  приобретению (реализации) ценных бумаг;</w:t>
      </w:r>
    </w:p>
    <w:p w14:paraId="7EAE3327" w14:textId="099F3CDA"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3CEE2A86" w14:textId="702EAA61"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494B406D" w14:textId="702EAA61"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   подтвержденная выпиской по счету депо.</w:t>
      </w:r>
    </w:p>
    <w:p w14:paraId="688D5D5E" w14:textId="1111D8F8"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38DCCEAA"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09F1100D"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0001705C" w14:textId="77777777" w:rsidR="009F4B14" w:rsidRPr="00A12F11" w:rsidRDefault="009F4B14" w:rsidP="00A12F11">
      <w:pPr>
        <w:pStyle w:val="afff0"/>
        <w:spacing w:before="240" w:after="160" w:line="276" w:lineRule="auto"/>
        <w:ind w:left="426" w:hanging="426"/>
        <w:jc w:val="both"/>
        <w:rPr>
          <w:rFonts w:ascii="Times New Roman" w:eastAsia="Times New Roman" w:hAnsi="Times New Roman"/>
          <w:bCs/>
          <w:color w:val="000000"/>
          <w:sz w:val="24"/>
          <w:szCs w:val="24"/>
        </w:rPr>
      </w:pPr>
      <w:r w:rsidRPr="00A12F11">
        <w:rPr>
          <w:rFonts w:ascii="Times New Roman" w:eastAsia="Times New Roman" w:hAnsi="Times New Roman"/>
          <w:bCs/>
          <w:color w:val="000000"/>
          <w:sz w:val="24"/>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30900A2" w14:textId="6F12AD96" w:rsidR="007862EB"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A12F11">
          <w:rPr>
            <w:rFonts w:ascii="Times New Roman" w:hAnsi="Times New Roman" w:cs="Times New Roman"/>
            <w:color w:val="000000"/>
            <w:sz w:val="24"/>
            <w:szCs w:val="24"/>
          </w:rPr>
          <w:t xml:space="preserve">Приложением </w:t>
        </w:r>
        <w:r w:rsidR="00C70589" w:rsidRPr="00C70589">
          <w:rPr>
            <w:rFonts w:ascii="Times New Roman" w:hAnsi="Times New Roman" w:cs="Times New Roman"/>
            <w:color w:val="000000"/>
            <w:sz w:val="24"/>
            <w:szCs w:val="24"/>
          </w:rPr>
          <w:t>5</w:t>
        </w:r>
      </w:hyperlink>
      <w:r w:rsidRPr="00A12F11">
        <w:rPr>
          <w:rFonts w:ascii="Times New Roman" w:eastAsia="Times New Roman" w:hAnsi="Times New Roman" w:cs="Times New Roman"/>
          <w:bCs/>
          <w:color w:val="000000"/>
          <w:sz w:val="24"/>
          <w:szCs w:val="24"/>
          <w:lang w:eastAsia="ru-RU"/>
        </w:rPr>
        <w:t>.</w:t>
      </w:r>
    </w:p>
    <w:p w14:paraId="1BF3B224"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68D80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A379F64"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F335F3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E8ABCC4"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267FB4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4BD635A" w14:textId="7B785529" w:rsidR="009F4B14" w:rsidRPr="00A12F11" w:rsidRDefault="00712D10" w:rsidP="00A12F11">
      <w:pPr>
        <w:spacing w:before="240" w:line="276" w:lineRule="auto"/>
        <w:ind w:left="426" w:hanging="426"/>
        <w:jc w:val="right"/>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1</w:t>
      </w:r>
      <w:r w:rsidR="0088150F" w:rsidRPr="00A12F11">
        <w:rPr>
          <w:rFonts w:ascii="Times New Roman" w:hAnsi="Times New Roman" w:cs="Times New Roman"/>
          <w:b/>
          <w:sz w:val="24"/>
          <w:szCs w:val="24"/>
        </w:rPr>
        <w:t>7</w:t>
      </w:r>
    </w:p>
    <w:p w14:paraId="5CD7E6E2" w14:textId="00EC26B6" w:rsidR="006530C8" w:rsidRPr="00A12F11" w:rsidRDefault="00481461"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Задолженность по сделкам с валютой, заключенным на условиях, отличных от стандартных (не более Т+1)</w:t>
      </w:r>
    </w:p>
    <w:p w14:paraId="1D3AE72E" w14:textId="24B6577C"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0246F79C" w14:textId="2CBA9807"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Cs/>
          <w:color w:val="000000"/>
          <w:sz w:val="24"/>
          <w:szCs w:val="24"/>
          <w:lang w:eastAsia="ru-RU"/>
        </w:rPr>
        <w:t>Дата заключения договора  по  покупке/продаже валюты.</w:t>
      </w:r>
    </w:p>
    <w:p w14:paraId="77C39458" w14:textId="2F8563A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B4DAE67" w14:textId="5E2874FE"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p w14:paraId="251EDC7F" w14:textId="3E56D98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48706EE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1C5C409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1A27513A" w14:textId="76333C91" w:rsidR="00481461" w:rsidRPr="00A12F11" w:rsidRDefault="0048146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корректируется в случае возникновения событий, приводящих к обесценению, в соответствии с </w:t>
      </w:r>
      <w:r w:rsidR="00F1310D" w:rsidRPr="00A12F11">
        <w:rPr>
          <w:rFonts w:ascii="Times New Roman" w:eastAsia="Times New Roman" w:hAnsi="Times New Roman" w:cs="Times New Roman"/>
          <w:bCs/>
          <w:sz w:val="24"/>
          <w:szCs w:val="24"/>
          <w:lang w:eastAsia="ru-RU"/>
        </w:rPr>
        <w:t xml:space="preserve">Приложением </w:t>
      </w:r>
      <w:r w:rsidR="00F1310D" w:rsidRPr="00A12F11">
        <w:rPr>
          <w:rFonts w:ascii="Times New Roman" w:hAnsi="Times New Roman" w:cs="Times New Roman"/>
          <w:sz w:val="24"/>
          <w:szCs w:val="24"/>
        </w:rPr>
        <w:t>5</w:t>
      </w:r>
      <w:r w:rsidRPr="00A12F11">
        <w:rPr>
          <w:rFonts w:ascii="Times New Roman" w:hAnsi="Times New Roman" w:cs="Times New Roman"/>
          <w:sz w:val="24"/>
          <w:szCs w:val="24"/>
        </w:rPr>
        <w:t>.</w:t>
      </w:r>
    </w:p>
    <w:p w14:paraId="4A677A5F" w14:textId="6FEC6233" w:rsidR="00745D70" w:rsidRDefault="00745D70"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A804266" w14:textId="05803746"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2D52158" w14:textId="656CE730"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1DEDFB73" w14:textId="4DD42A8A"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F70E013" w14:textId="085120FB"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B6AFC20" w14:textId="42572148"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3A48FD7" w14:textId="7B2EE5EC"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1377F20" w14:textId="5914DA25"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1001B062" w14:textId="2BD86B81"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8A10DC7" w14:textId="459A63EF"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4EF89D18" w14:textId="32AF7052"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0F74C206" w14:textId="77777777"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71AEA3C3" w14:textId="6F05BE6E" w:rsidR="00803D57" w:rsidRPr="00A12F11" w:rsidRDefault="00712D10" w:rsidP="00A12F11">
      <w:pPr>
        <w:spacing w:before="240" w:line="276" w:lineRule="auto"/>
        <w:ind w:left="426" w:hanging="426"/>
        <w:jc w:val="right"/>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 xml:space="preserve"> </w:t>
      </w: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18</w:t>
      </w:r>
    </w:p>
    <w:p w14:paraId="24E4D828" w14:textId="52FFFF18" w:rsidR="00481461" w:rsidRPr="00A12F11" w:rsidRDefault="00803D5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ПРОЧАЯ ДЕБИТОРСКАЯ ЗАДОЛЖЕННОСТЬ</w:t>
      </w:r>
    </w:p>
    <w:p w14:paraId="1A0AF81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5C561AA5" w14:textId="2408057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E4915BD" w14:textId="0FCE25F1"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Авансы, выданные по сделкам за счет имущества ПИФ;</w:t>
      </w:r>
    </w:p>
    <w:p w14:paraId="04D3DFC9" w14:textId="7390CEF5"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управляющей компании перед ПИФ;</w:t>
      </w:r>
    </w:p>
    <w:p w14:paraId="4F3CD9B1" w14:textId="327DCE5E"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6C783390" w14:textId="280252B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налогам, сборам, пошлинам в бюджеты всех уровней;</w:t>
      </w:r>
    </w:p>
    <w:p w14:paraId="5A5F1A77" w14:textId="5C5F55B9"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возмещению суммы налогов из бюджета РФ;</w:t>
      </w:r>
    </w:p>
    <w:p w14:paraId="0D872A84" w14:textId="5654D2B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аренде;</w:t>
      </w:r>
    </w:p>
    <w:p w14:paraId="1576B0EB" w14:textId="6FDF8A0B"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в результате перевода денежных средств («деньги в пути»);</w:t>
      </w:r>
    </w:p>
    <w:p w14:paraId="056DEC3C" w14:textId="71A3DBF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iCs/>
          <w:sz w:val="24"/>
          <w:szCs w:val="24"/>
          <w:lang w:eastAsia="ru-RU"/>
        </w:rPr>
        <w:t xml:space="preserve">- </w:t>
      </w:r>
      <w:r w:rsidR="009B224E" w:rsidRPr="00A12F11">
        <w:rPr>
          <w:rFonts w:ascii="Times New Roman" w:eastAsia="Times New Roman" w:hAnsi="Times New Roman" w:cs="Times New Roman"/>
          <w:iCs/>
          <w:sz w:val="24"/>
          <w:szCs w:val="24"/>
          <w:lang w:eastAsia="ru-RU"/>
        </w:rPr>
        <w:t>Дебиторская задолженность, возникшая в результате отзыва лицензии у банка или брокера.</w:t>
      </w:r>
    </w:p>
    <w:p w14:paraId="2BFDB69A" w14:textId="70553E7F"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0990EDD"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r w:rsidRPr="00A12F11">
        <w:rPr>
          <w:rFonts w:ascii="Times New Roman" w:eastAsia="Times New Roman" w:hAnsi="Times New Roman" w:cs="Times New Roman"/>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079AED5A"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sz w:val="24"/>
          <w:szCs w:val="24"/>
          <w:lang w:eastAsia="ru-RU"/>
        </w:rPr>
        <w:t xml:space="preserve">Дебиторская задолженность по налогам, сборам, пошлинам в бюджеты всех уровней </w:t>
      </w:r>
      <w:r w:rsidRPr="00A12F11">
        <w:rPr>
          <w:rFonts w:ascii="Times New Roman" w:eastAsia="Times New Roman" w:hAnsi="Times New Roman" w:cs="Times New Roman"/>
          <w:sz w:val="24"/>
          <w:szCs w:val="24"/>
          <w:lang w:eastAsia="ru-RU"/>
        </w:rPr>
        <w:t>– дата возникновения основания для возмещения налогов, сборов, пошлин из бюджета</w:t>
      </w:r>
    </w:p>
    <w:p w14:paraId="0398EB8E"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w:t>
      </w:r>
      <w:r w:rsidRPr="00A12F11">
        <w:rPr>
          <w:rFonts w:ascii="Times New Roman" w:eastAsia="Times New Roman" w:hAnsi="Times New Roman" w:cs="Times New Roman"/>
          <w:b/>
          <w:sz w:val="24"/>
          <w:szCs w:val="24"/>
          <w:lang w:eastAsia="ru-RU"/>
        </w:rPr>
        <w:t xml:space="preserve">ебиторской задолженности управляющей компании перед ПИФ – </w:t>
      </w:r>
      <w:r w:rsidRPr="00A12F11">
        <w:rPr>
          <w:rFonts w:ascii="Times New Roman" w:eastAsia="Times New Roman" w:hAnsi="Times New Roman" w:cs="Times New Roman"/>
          <w:sz w:val="24"/>
          <w:szCs w:val="24"/>
          <w:lang w:eastAsia="ru-RU"/>
        </w:rPr>
        <w:t>установленный</w:t>
      </w:r>
      <w:r w:rsidRPr="00A12F11">
        <w:rPr>
          <w:rFonts w:ascii="Times New Roman" w:eastAsia="Times New Roman" w:hAnsi="Times New Roman" w:cs="Times New Roman"/>
          <w:b/>
          <w:sz w:val="24"/>
          <w:szCs w:val="24"/>
          <w:lang w:eastAsia="ru-RU"/>
        </w:rPr>
        <w:t xml:space="preserve"> </w:t>
      </w:r>
      <w:r w:rsidRPr="00A12F11">
        <w:rPr>
          <w:rFonts w:ascii="Times New Roman" w:eastAsia="Times New Roman" w:hAnsi="Times New Roman" w:cs="Times New Roman"/>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w:t>
      </w:r>
    </w:p>
    <w:p w14:paraId="11948E54"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Для </w:t>
      </w:r>
      <w:r w:rsidRPr="00A12F11">
        <w:rPr>
          <w:rFonts w:ascii="Times New Roman" w:eastAsia="Times New Roman" w:hAnsi="Times New Roman" w:cs="Times New Roman"/>
          <w:b/>
          <w:sz w:val="24"/>
          <w:szCs w:val="24"/>
          <w:lang w:eastAsia="ru-RU"/>
        </w:rPr>
        <w:t>дебиторской задолженности, возникшей в результате перевода денежных средств –</w:t>
      </w:r>
      <w:r w:rsidRPr="00A12F11">
        <w:rPr>
          <w:rFonts w:ascii="Times New Roman" w:eastAsia="Times New Roman" w:hAnsi="Times New Roman" w:cs="Times New Roman"/>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37835A92"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дебиторской задолженности по аренде</w:t>
      </w:r>
      <w:r w:rsidRPr="00A12F11">
        <w:rPr>
          <w:rFonts w:ascii="Times New Roman" w:hAnsi="Times New Roman" w:cs="Times New Roman"/>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538E8A53"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iCs/>
          <w:sz w:val="24"/>
          <w:szCs w:val="24"/>
          <w:lang w:eastAsia="ru-RU"/>
        </w:rPr>
        <w:t>Для дебиторской задолженности, возникшей в результате отзыва лицензии у банка или брокера</w:t>
      </w:r>
      <w:r w:rsidRPr="00A12F11">
        <w:rPr>
          <w:rFonts w:ascii="Times New Roman" w:eastAsia="Times New Roman" w:hAnsi="Times New Roman" w:cs="Times New Roman"/>
          <w:iCs/>
          <w:sz w:val="24"/>
          <w:szCs w:val="24"/>
          <w:lang w:eastAsia="ru-RU"/>
        </w:rPr>
        <w:t xml:space="preserve"> – дата отзыва лицензии банка, брокера.</w:t>
      </w:r>
    </w:p>
    <w:p w14:paraId="285E8CE3" w14:textId="016C3C4B"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r w:rsidRPr="00A12F11">
        <w:rPr>
          <w:rFonts w:ascii="Times New Roman" w:eastAsia="Times New Roman" w:hAnsi="Times New Roman" w:cs="Times New Roman"/>
          <w:sz w:val="24"/>
          <w:szCs w:val="24"/>
          <w:lang w:eastAsia="ru-RU"/>
        </w:rPr>
        <w:t xml:space="preserve"> - дата передачи активов (денежных средств) лицу, в отношении которого возникает дебиторская задолженность.</w:t>
      </w:r>
    </w:p>
    <w:p w14:paraId="5F03EA15" w14:textId="77777777" w:rsidR="00A15D06" w:rsidRPr="00A12F11" w:rsidRDefault="00A15D06" w:rsidP="00A12F11">
      <w:pPr>
        <w:spacing w:before="240" w:line="276" w:lineRule="auto"/>
        <w:ind w:left="426" w:hanging="426"/>
        <w:jc w:val="both"/>
        <w:rPr>
          <w:rFonts w:ascii="Times New Roman" w:eastAsia="Times New Roman" w:hAnsi="Times New Roman" w:cs="Times New Roman"/>
          <w:b/>
          <w:sz w:val="24"/>
          <w:szCs w:val="24"/>
          <w:lang w:eastAsia="ru-RU"/>
        </w:rPr>
      </w:pPr>
    </w:p>
    <w:p w14:paraId="3F52E9D8" w14:textId="3639B5E5"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Критерии прекращения признания</w:t>
      </w:r>
    </w:p>
    <w:p w14:paraId="4C68ED0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p>
    <w:p w14:paraId="705B1E5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2A874F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4F1B12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налогам, сборам, пошлинам в бюджеты всех уровней:</w:t>
      </w:r>
    </w:p>
    <w:p w14:paraId="07273AD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получения возмещения из бюджета полной суммы задолженности соответствующего налога, сбора, пошлины;</w:t>
      </w:r>
    </w:p>
    <w:p w14:paraId="0708C04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решения об отказе в осуществлении зачета (возврата) сумм излишне уплаченного налога, сбора, пошлины;</w:t>
      </w:r>
    </w:p>
    <w:p w14:paraId="736D51B8" w14:textId="7ECE647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3E4FC60"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p>
    <w:p w14:paraId="42B2C48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исполнения обязательств перед ПИФ согласно договору;</w:t>
      </w:r>
    </w:p>
    <w:p w14:paraId="5F29ED6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62448AF" w14:textId="1F2C3D86" w:rsidR="007B2DDB" w:rsidRPr="00A12F11" w:rsidRDefault="009B224E"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w:t>
      </w:r>
    </w:p>
    <w:p w14:paraId="57B8DB98" w14:textId="77777777" w:rsidR="009B224E" w:rsidRPr="00A12F11" w:rsidRDefault="009B224E" w:rsidP="00A12F11">
      <w:pPr>
        <w:spacing w:before="240" w:line="276" w:lineRule="auto"/>
        <w:ind w:left="426" w:hanging="426"/>
        <w:jc w:val="both"/>
        <w:rPr>
          <w:rFonts w:ascii="Times New Roman" w:eastAsia="Calibri" w:hAnsi="Times New Roman" w:cs="Times New Roman"/>
          <w:i/>
          <w:sz w:val="24"/>
          <w:szCs w:val="24"/>
        </w:rPr>
      </w:pPr>
      <w:r w:rsidRPr="00A12F11">
        <w:rPr>
          <w:rFonts w:ascii="Times New Roman" w:eastAsia="Calibri" w:hAnsi="Times New Roman" w:cs="Times New Roman"/>
          <w:i/>
          <w:sz w:val="24"/>
          <w:szCs w:val="24"/>
        </w:rPr>
        <w:t>Критерии и сроки квалификации дебиторской задолженности как   операционной</w:t>
      </w:r>
    </w:p>
    <w:p w14:paraId="03AC3B6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отсутствие признаков обесценения:</w:t>
      </w:r>
    </w:p>
    <w:p w14:paraId="7F40F4E6" w14:textId="54CE0E2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совершения сделок с имуществом ПИФ</w:t>
      </w:r>
      <w:r w:rsidRPr="00A12F11">
        <w:rPr>
          <w:rFonts w:ascii="Times New Roman" w:eastAsia="Times New Roman" w:hAnsi="Times New Roman" w:cs="Times New Roman"/>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w:t>
      </w:r>
    </w:p>
    <w:p w14:paraId="6A0B970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течение которых задолженность также  квалифицируется операционной.</w:t>
      </w:r>
    </w:p>
    <w:p w14:paraId="2C56991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возникающая в случае задержки перерегистрации имущества регистрационным органом</w:t>
      </w:r>
      <w:r w:rsidRPr="00A12F11">
        <w:rPr>
          <w:rFonts w:ascii="Times New Roman" w:eastAsia="Times New Roman" w:hAnsi="Times New Roman" w:cs="Times New Roman"/>
          <w:sz w:val="24"/>
          <w:szCs w:val="24"/>
          <w:lang w:eastAsia="ru-RU"/>
        </w:rPr>
        <w:t xml:space="preserve"> – с даты возникновения до даты погашения квалифицируется в качестве операционной.</w:t>
      </w:r>
    </w:p>
    <w:p w14:paraId="28C259F9" w14:textId="4EF09D1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Авансы, выданные по сделкам</w:t>
      </w:r>
      <w:r w:rsidRPr="00A12F11">
        <w:rPr>
          <w:rFonts w:ascii="Times New Roman" w:eastAsia="Times New Roman" w:hAnsi="Times New Roman" w:cs="Times New Roman"/>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3027A47"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Дебиторская задолженность управляющей компании перед ПИФ</w:t>
      </w:r>
      <w:r w:rsidRPr="00A12F11">
        <w:rPr>
          <w:rFonts w:ascii="Times New Roman" w:eastAsia="Times New Roman" w:hAnsi="Times New Roman" w:cs="Times New Roman"/>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40BE4D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A12F11">
        <w:rPr>
          <w:rFonts w:ascii="Times New Roman" w:eastAsia="Times New Roman" w:hAnsi="Times New Roman" w:cs="Times New Roman"/>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001257E" w14:textId="4320CEC4"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договорам аренды (в т.ч. коммунальные платежи, подлежащие оплате арендатором)</w:t>
      </w:r>
      <w:r w:rsidRPr="00A12F11">
        <w:rPr>
          <w:rFonts w:ascii="Times New Roman" w:eastAsia="Times New Roman" w:hAnsi="Times New Roman" w:cs="Times New Roman"/>
          <w:sz w:val="24"/>
          <w:szCs w:val="24"/>
          <w:lang w:eastAsia="ru-RU"/>
        </w:rPr>
        <w:t xml:space="preserve"> срок погашения которой не превышает 10 рабочих дней с даты окончания арендного периода классифицируется операционной с даты признания до даты погашения в соответствии с условиям договора аренды. При этом допустимый срок нарушения арендатором исполнения обязательств составляет не более 10 рабочих дней, в течение которых задолженность по аренде продолжает классифицироваться как операционная.</w:t>
      </w:r>
    </w:p>
    <w:p w14:paraId="5E2E5998"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перевода денежных средств («деньги в пути»)</w:t>
      </w:r>
      <w:r w:rsidRPr="00A12F11">
        <w:rPr>
          <w:rFonts w:ascii="Times New Roman" w:eastAsia="Times New Roman" w:hAnsi="Times New Roman" w:cs="Times New Roman"/>
          <w:sz w:val="24"/>
          <w:szCs w:val="24"/>
          <w:lang w:eastAsia="ru-RU"/>
        </w:rPr>
        <w:t xml:space="preserve"> – в течение 3 рабочих дней с даты признания такой задолженности.</w:t>
      </w:r>
    </w:p>
    <w:p w14:paraId="6AE1CA46" w14:textId="4CA4D47E"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Справедливая стоимость</w:t>
      </w:r>
    </w:p>
    <w:p w14:paraId="301F8F2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прочей дебиторской задолженности определяется:</w:t>
      </w:r>
    </w:p>
    <w:p w14:paraId="45C3665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фактического остатка задолженности</w:t>
      </w:r>
      <w:r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b/>
          <w:sz w:val="24"/>
          <w:szCs w:val="24"/>
          <w:lang w:eastAsia="ru-RU"/>
        </w:rPr>
        <w:t>на дату определения справедливой стоимости/дату определения СЧА*:</w:t>
      </w:r>
    </w:p>
    <w:p w14:paraId="743AFB83"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15CFC8DA"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налогам, сборам, пошлинам в бюджеты всех уровней;</w:t>
      </w:r>
    </w:p>
    <w:p w14:paraId="5F591B33"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возмещению суммы налогов из бюджета РФ.</w:t>
      </w:r>
    </w:p>
    <w:p w14:paraId="787562B8"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p>
    <w:p w14:paraId="4A591BF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w:t>
      </w:r>
      <w:r w:rsidRPr="00A12F11">
        <w:rPr>
          <w:rFonts w:ascii="Times New Roman" w:eastAsia="Times New Roman" w:hAnsi="Times New Roman" w:cs="Times New Roman"/>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12F11">
        <w:rPr>
          <w:rStyle w:val="aff7"/>
          <w:rFonts w:ascii="Times New Roman" w:eastAsia="Times New Roman" w:hAnsi="Times New Roman" w:cs="Times New Roman"/>
          <w:bCs/>
          <w:sz w:val="24"/>
          <w:szCs w:val="24"/>
          <w:lang w:eastAsia="ru-RU"/>
        </w:rPr>
        <w:footnoteReference w:id="27"/>
      </w:r>
    </w:p>
    <w:p w14:paraId="57929497" w14:textId="77777777" w:rsidR="009B224E" w:rsidRPr="00A12F11" w:rsidRDefault="009B224E" w:rsidP="00A12F11">
      <w:pPr>
        <w:spacing w:before="240" w:line="276" w:lineRule="auto"/>
        <w:ind w:left="426" w:hanging="426"/>
        <w:jc w:val="both"/>
        <w:rPr>
          <w:rFonts w:ascii="Times New Roman" w:eastAsia="Times New Roman" w:hAnsi="Times New Roman" w:cs="Times New Roman"/>
          <w:b/>
          <w:sz w:val="24"/>
          <w:szCs w:val="24"/>
          <w:lang w:eastAsia="ru-RU"/>
        </w:rPr>
      </w:pPr>
    </w:p>
    <w:p w14:paraId="59EE48E4" w14:textId="144E86CA"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12F11">
        <w:rPr>
          <w:rFonts w:ascii="Times New Roman" w:eastAsia="Times New Roman" w:hAnsi="Times New Roman" w:cs="Times New Roman"/>
          <w:sz w:val="24"/>
          <w:szCs w:val="24"/>
          <w:lang w:eastAsia="ru-RU"/>
        </w:rPr>
        <w:t xml:space="preserve"> (</w:t>
      </w:r>
      <w:r w:rsidRPr="00A12F11">
        <w:rPr>
          <w:rFonts w:ascii="Times New Roman" w:hAnsi="Times New Roman" w:cs="Times New Roman"/>
          <w:sz w:val="24"/>
          <w:szCs w:val="24"/>
        </w:rPr>
        <w:t xml:space="preserve">Приложение </w:t>
      </w:r>
      <w:r w:rsidR="00A15D06" w:rsidRPr="00A12F11">
        <w:rPr>
          <w:rFonts w:ascii="Times New Roman" w:eastAsia="Times New Roman" w:hAnsi="Times New Roman" w:cs="Times New Roman"/>
          <w:sz w:val="24"/>
          <w:szCs w:val="24"/>
          <w:lang w:eastAsia="ru-RU"/>
        </w:rPr>
        <w:t>5</w:t>
      </w:r>
      <w:r w:rsidRPr="00A12F11">
        <w:rPr>
          <w:rFonts w:ascii="Times New Roman" w:eastAsia="Times New Roman" w:hAnsi="Times New Roman" w:cs="Times New Roman"/>
          <w:sz w:val="24"/>
          <w:szCs w:val="24"/>
          <w:lang w:eastAsia="ru-RU"/>
        </w:rPr>
        <w:t>) во всех иных случаях</w:t>
      </w:r>
    </w:p>
    <w:p w14:paraId="1FF884B6"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8F82AFC" w14:textId="14680440" w:rsidR="00712D10"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Список общих событий, приводящих к обесценению, указан в </w:t>
      </w:r>
      <w:r w:rsidR="00A15D06" w:rsidRPr="00A12F11">
        <w:rPr>
          <w:rFonts w:ascii="Times New Roman" w:hAnsi="Times New Roman" w:cs="Times New Roman"/>
          <w:sz w:val="24"/>
          <w:szCs w:val="24"/>
        </w:rPr>
        <w:t>Приложении 5</w:t>
      </w:r>
      <w:r w:rsidRPr="00A12F11">
        <w:rPr>
          <w:rFonts w:ascii="Times New Roman" w:hAnsi="Times New Roman" w:cs="Times New Roman"/>
          <w:sz w:val="24"/>
          <w:szCs w:val="24"/>
        </w:rPr>
        <w:t>.</w:t>
      </w:r>
    </w:p>
    <w:p w14:paraId="08485EF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6D5286E"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CC71EA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6DC5C230"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AE536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CA49106"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208DBB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24E67B8"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54F911C"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3B9F55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46AF134"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7887892" w14:textId="19D17B11" w:rsidR="00FC2A6D" w:rsidRPr="00A12F11" w:rsidRDefault="00712D10" w:rsidP="00A12F11">
      <w:pPr>
        <w:autoSpaceDN w:val="0"/>
        <w:adjustRightInd w:val="0"/>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19</w:t>
      </w:r>
    </w:p>
    <w:p w14:paraId="3E7E03C2" w14:textId="77777777" w:rsidR="00C96744" w:rsidRDefault="002B74C5" w:rsidP="00C96744">
      <w:pPr>
        <w:autoSpaceDN w:val="0"/>
        <w:adjustRightInd w:val="0"/>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НЕДВИЖИМОЕ ИМУЩЕСТВО</w:t>
      </w:r>
    </w:p>
    <w:p w14:paraId="7319D238" w14:textId="46EE4947" w:rsidR="00481461" w:rsidRPr="00A12F11" w:rsidRDefault="00481461" w:rsidP="00C96744">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13A1EE3C"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463D40E6"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вновь созданных объектов недвижимости;</w:t>
      </w:r>
    </w:p>
    <w:p w14:paraId="36EF8DDF"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 дата государственной регистрации права собственности владельцев инвестиционных паев ПИФ, подтвержденная   выпиской из ЕГРН.</w:t>
      </w:r>
    </w:p>
    <w:p w14:paraId="1F228772" w14:textId="05E24AEA"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w:t>
      </w:r>
      <w:r w:rsidR="002B74C5" w:rsidRPr="00A12F11">
        <w:rPr>
          <w:rFonts w:ascii="Times New Roman" w:hAnsi="Times New Roman" w:cs="Times New Roman"/>
          <w:sz w:val="24"/>
          <w:szCs w:val="24"/>
        </w:rPr>
        <w:t>ля вновь созданных объектов - дата регистрации права собственности владельцев инвестиционных паев ПИФ, подтвержденная   выпиской из ЕГРН;</w:t>
      </w:r>
    </w:p>
    <w:p w14:paraId="7D1763A4" w14:textId="35A783B8"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r w:rsidR="002B74C5" w:rsidRPr="00A12F11">
        <w:rPr>
          <w:rFonts w:ascii="Times New Roman" w:hAnsi="Times New Roman" w:cs="Times New Roman"/>
          <w:sz w:val="24"/>
          <w:szCs w:val="24"/>
        </w:rPr>
        <w:t xml:space="preserve"> случае включения в состав имущества фонда недвижимого имущества при выдаче дополнительных инвестиционных паев - дата распорядительной записки.</w:t>
      </w:r>
    </w:p>
    <w:p w14:paraId="3CBB284F" w14:textId="77777777" w:rsidR="008172F2" w:rsidRPr="00A12F11" w:rsidRDefault="00306490" w:rsidP="00C96744">
      <w:pPr>
        <w:spacing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0A292AC" w14:textId="2187AA5F"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7144C58"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50C19B04"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прекращения паевого инвестиционного фонда);</w:t>
      </w:r>
    </w:p>
    <w:p w14:paraId="2E64DA7F" w14:textId="5EE64145" w:rsidR="002B74C5"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 </w:t>
      </w:r>
      <w:r w:rsidR="002B74C5" w:rsidRPr="00A12F11">
        <w:rPr>
          <w:rFonts w:ascii="Times New Roman" w:hAnsi="Times New Roman" w:cs="Times New Roman"/>
          <w:sz w:val="24"/>
          <w:szCs w:val="24"/>
        </w:rPr>
        <w:t>дата государственной регистрации прекращения права собственности владельцев инвестиционных паев ПИФ, подтвержденная   выпиской из ЕГРН.</w:t>
      </w:r>
    </w:p>
    <w:p w14:paraId="49EEBA51" w14:textId="09A9C89B" w:rsidR="008172F2"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 дата государственной регистрации ликвидации недвижимого имущества, подтверждённая документом, выданным регистрирующим органом с отметкой о регистрационном действии;</w:t>
      </w:r>
    </w:p>
    <w:p w14:paraId="666E8DFD" w14:textId="77777777" w:rsidR="008172F2" w:rsidRPr="00A12F11" w:rsidRDefault="008172F2" w:rsidP="00C96744">
      <w:pPr>
        <w:pStyle w:val="ac"/>
        <w:numPr>
          <w:ilvl w:val="0"/>
          <w:numId w:val="15"/>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документа, подтверждающего утрату/гибель объекта недвижимого имущества, выданного органом кадастра и картографии.</w:t>
      </w:r>
    </w:p>
    <w:p w14:paraId="757510D9" w14:textId="32B07EF9"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вступления в силу судебного решения о возникновении/прекращении права собственности владельцев инвестиционных паёв ПИФ на недвижимое имущество.</w:t>
      </w:r>
    </w:p>
    <w:p w14:paraId="37E1B2B7" w14:textId="571E0E3D"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075CA5BB"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объекта недвижимости определяется оценщиком в сроки, соответствующие требованиям законодательства. </w:t>
      </w:r>
    </w:p>
    <w:p w14:paraId="6054C8C9" w14:textId="715A93C1" w:rsidR="004803F1"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20</w:t>
      </w:r>
    </w:p>
    <w:p w14:paraId="0D45F315" w14:textId="77777777" w:rsidR="007862EB" w:rsidRPr="00A12F11" w:rsidRDefault="00FC2A6D"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Права аренды на недвижимое имущество (по</w:t>
      </w:r>
      <w:r w:rsidR="00633778" w:rsidRPr="00A12F11">
        <w:rPr>
          <w:rFonts w:ascii="Times New Roman" w:eastAsiaTheme="majorEastAsia" w:hAnsi="Times New Roman" w:cs="Times New Roman"/>
          <w:b/>
          <w:caps/>
          <w:color w:val="000000" w:themeColor="text1"/>
          <w:sz w:val="24"/>
          <w:szCs w:val="24"/>
        </w:rPr>
        <w:t xml:space="preserve"> ДОГОВОРУ ОПЕРАЦИОННОЙ АРЕНДЫ</w:t>
      </w:r>
      <w:r w:rsidRPr="00A12F11">
        <w:rPr>
          <w:rFonts w:ascii="Times New Roman" w:eastAsiaTheme="majorEastAsia" w:hAnsi="Times New Roman" w:cs="Times New Roman"/>
          <w:b/>
          <w:caps/>
          <w:color w:val="000000" w:themeColor="text1"/>
          <w:sz w:val="24"/>
          <w:szCs w:val="24"/>
        </w:rPr>
        <w:t>)</w:t>
      </w:r>
    </w:p>
    <w:p w14:paraId="6891F556" w14:textId="659D539C" w:rsidR="00481461" w:rsidRPr="00A12F11" w:rsidRDefault="00481461" w:rsidP="00A12F11">
      <w:p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r w:rsidR="00A751B3" w:rsidRPr="00A12F11">
        <w:rPr>
          <w:rFonts w:ascii="Times New Roman" w:hAnsi="Times New Roman" w:cs="Times New Roman"/>
          <w:b/>
          <w:sz w:val="24"/>
          <w:szCs w:val="24"/>
        </w:rPr>
        <w:t>:</w:t>
      </w:r>
    </w:p>
    <w:p w14:paraId="40CD74EB" w14:textId="6BBC3FE1" w:rsidR="00200A70" w:rsidRPr="00A12F11" w:rsidRDefault="00BD509B"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 xml:space="preserve">С даты передачи объекта недвижимости в аренду по акту приема-передачи; </w:t>
      </w:r>
    </w:p>
    <w:p w14:paraId="25A83386" w14:textId="1C3CED94" w:rsidR="00200A70" w:rsidRPr="00A12F11" w:rsidRDefault="00200A70" w:rsidP="00A12F11">
      <w:pPr>
        <w:spacing w:before="240" w:line="276" w:lineRule="auto"/>
        <w:jc w:val="both"/>
        <w:rPr>
          <w:rFonts w:ascii="Times New Roman" w:hAnsi="Times New Roman" w:cs="Times New Roman"/>
          <w:sz w:val="24"/>
          <w:szCs w:val="24"/>
        </w:rPr>
      </w:pPr>
      <w:r w:rsidRPr="00A12F11">
        <w:rPr>
          <w:rFonts w:ascii="Times New Roman" w:hAnsi="Times New Roman" w:cs="Times New Roman"/>
          <w:bCs/>
          <w:color w:val="000000" w:themeColor="text1"/>
          <w:sz w:val="24"/>
          <w:szCs w:val="24"/>
          <w:lang w:eastAsia="ru-RU"/>
        </w:rPr>
        <w:t>- С даты уступки права аренды объекта недвижимого имущества.</w:t>
      </w:r>
    </w:p>
    <w:p w14:paraId="427DE2CC" w14:textId="22511119" w:rsidR="00481461" w:rsidRPr="00A12F11" w:rsidRDefault="00481461" w:rsidP="00A12F11">
      <w:pPr>
        <w:spacing w:before="240" w:line="276" w:lineRule="auto"/>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r w:rsidR="00A751B3" w:rsidRPr="00A12F11">
        <w:rPr>
          <w:rFonts w:ascii="Times New Roman" w:eastAsia="Times New Roman" w:hAnsi="Times New Roman" w:cs="Times New Roman"/>
          <w:b/>
          <w:bCs/>
          <w:color w:val="000000"/>
          <w:sz w:val="24"/>
          <w:szCs w:val="24"/>
          <w:lang w:eastAsia="ru-RU"/>
        </w:rPr>
        <w:t>:</w:t>
      </w:r>
    </w:p>
    <w:p w14:paraId="17D2F557" w14:textId="59268178"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подписания акта возврата имущества арендодателю;</w:t>
      </w:r>
    </w:p>
    <w:p w14:paraId="131AD41D" w14:textId="7EF32D4C"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уступки права аренды третьему лицу;</w:t>
      </w:r>
    </w:p>
    <w:p w14:paraId="7ED04ACF" w14:textId="3541B19C" w:rsidR="00200A70" w:rsidRPr="00A12F11" w:rsidRDefault="00916A88" w:rsidP="00A12F11">
      <w:pPr>
        <w:spacing w:before="240" w:line="276" w:lineRule="auto"/>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прочего прекращения права аренды в соответствии с законодательством или договором</w:t>
      </w:r>
    </w:p>
    <w:p w14:paraId="72727DEE" w14:textId="1B09B6A3"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r w:rsidR="00A751B3" w:rsidRPr="00A12F11">
        <w:rPr>
          <w:rFonts w:ascii="Times New Roman" w:eastAsia="Times New Roman" w:hAnsi="Times New Roman" w:cs="Times New Roman"/>
          <w:b/>
          <w:bCs/>
          <w:color w:val="000000"/>
          <w:sz w:val="24"/>
          <w:szCs w:val="24"/>
          <w:lang w:eastAsia="ru-RU"/>
        </w:rPr>
        <w:t>:</w:t>
      </w:r>
    </w:p>
    <w:p w14:paraId="6FA2E890" w14:textId="4BD91EA6"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не более одного года (краткосрочная аренда) равняется нулю</w:t>
      </w:r>
      <w:r w:rsidRPr="00A12F11">
        <w:rPr>
          <w:rFonts w:ascii="Times New Roman" w:hAnsi="Times New Roman" w:cs="Times New Roman"/>
          <w:color w:val="000000" w:themeColor="text1"/>
          <w:sz w:val="24"/>
          <w:szCs w:val="24"/>
          <w:lang w:eastAsia="ru-RU"/>
        </w:rPr>
        <w:t xml:space="preserve">. </w:t>
      </w:r>
    </w:p>
    <w:p w14:paraId="57C0C882"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краткосрочной аренды определяется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19D90828" w14:textId="4B95F23C"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более одного года (долгосрочная аренда) определяется на основании отчёта оценщика</w:t>
      </w:r>
      <w:r w:rsidRPr="00A12F11">
        <w:rPr>
          <w:rFonts w:ascii="Times New Roman" w:hAnsi="Times New Roman" w:cs="Times New Roman"/>
          <w:color w:val="000000" w:themeColor="text1"/>
          <w:sz w:val="24"/>
          <w:szCs w:val="24"/>
          <w:lang w:eastAsia="ru-RU"/>
        </w:rPr>
        <w:t xml:space="preserve">. </w:t>
      </w:r>
    </w:p>
    <w:p w14:paraId="361AB3B5"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долгосрочной аренды определяется по приведенной к дате оценки сумме арендных платежей на весь срок действия договора аренды. При этом такой срок не должен превышать срок действия Правил доверительного управления Фондом.</w:t>
      </w:r>
    </w:p>
    <w:p w14:paraId="396D040A"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В качестве ставки дисконтирования используется ставка, установленная договором, а если договором ставка не установлена, используется рыночная ставка.</w:t>
      </w:r>
    </w:p>
    <w:p w14:paraId="2640D2F2" w14:textId="77777777" w:rsidR="00200A70" w:rsidRPr="00A12F11" w:rsidRDefault="00200A70"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color w:val="000000" w:themeColor="text1"/>
          <w:sz w:val="24"/>
          <w:szCs w:val="24"/>
          <w:lang w:eastAsia="ru-RU"/>
        </w:rPr>
        <w:t>В качестве рыночной ставки используется средневзвешенная ставка в валюте договора,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сопоставимая с оставшимся по договору аренды сроком, и скорректированная на изменение ключевой ставки ЦБ РФ в порядке, предусмотренном Приложением 4.</w:t>
      </w:r>
    </w:p>
    <w:p w14:paraId="504A8D5D" w14:textId="2E2D9A95" w:rsidR="00481461" w:rsidRPr="00A12F11" w:rsidRDefault="00200A7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sz w:val="24"/>
          <w:szCs w:val="24"/>
          <w:lang w:eastAsia="ru-RU"/>
        </w:rPr>
        <w:t>Обеспечительный платёж, оплаченный по договору как краткосрочной, так и долгосрочной аренды, признаётся в составе дебиторской задолженности, которая в случае возникновения оснований для обесценения корректируется в соответствии с Приложением</w:t>
      </w:r>
      <w:r w:rsidR="00A751B3" w:rsidRPr="00A12F11">
        <w:rPr>
          <w:rFonts w:ascii="Times New Roman" w:hAnsi="Times New Roman" w:cs="Times New Roman"/>
          <w:sz w:val="24"/>
          <w:szCs w:val="24"/>
          <w:lang w:eastAsia="ru-RU"/>
        </w:rPr>
        <w:t xml:space="preserve"> 5.</w:t>
      </w:r>
    </w:p>
    <w:p w14:paraId="1C096C4E" w14:textId="3C7BB480" w:rsidR="00B26DEA" w:rsidRPr="00A12F11" w:rsidRDefault="00B26DEA" w:rsidP="00A12F11">
      <w:pPr>
        <w:pStyle w:val="ac"/>
        <w:numPr>
          <w:ilvl w:val="1"/>
          <w:numId w:val="70"/>
        </w:numPr>
        <w:spacing w:before="240" w:line="276" w:lineRule="auto"/>
        <w:jc w:val="both"/>
        <w:rPr>
          <w:rFonts w:ascii="Times New Roman" w:hAnsi="Times New Roman" w:cs="Times New Roman"/>
          <w:b/>
          <w:sz w:val="24"/>
          <w:szCs w:val="24"/>
        </w:rPr>
      </w:pPr>
      <w:bookmarkStart w:id="13" w:name="Par4"/>
      <w:bookmarkStart w:id="14" w:name="_Ref18506424"/>
      <w:bookmarkEnd w:id="13"/>
      <w:r w:rsidRPr="00A12F11">
        <w:rPr>
          <w:rFonts w:ascii="Times New Roman" w:hAnsi="Times New Roman" w:cs="Times New Roman"/>
          <w:b/>
          <w:sz w:val="24"/>
          <w:szCs w:val="24"/>
        </w:rPr>
        <w:t>Аренда земельного участка,</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на котором расположено недвижимое имущество - актив Фонда</w:t>
      </w:r>
    </w:p>
    <w:bookmarkEnd w:id="14"/>
    <w:p w14:paraId="308CABC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 от расположенного на нем здания (строения, сооружения), а также если справедливая стоимость договора аренды земельного участка, на котором расположено недвижимое имущество - актив Фонда, включена оценщиком в справедливую стоимость этого недвижимого имущества, то признание права аренды на такой земельный участок в качестве самостоятельного актива не осуществляется.</w:t>
      </w:r>
    </w:p>
    <w:p w14:paraId="1FA7AB8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договор аренды Управляющей компанией Фонда земельного участка, на котором расположено недвижимое имущество - актив Фонда, признается активом в форме права пользования</w:t>
      </w:r>
      <w:r w:rsidRPr="00A12F11" w:rsidDel="00F67407">
        <w:rPr>
          <w:rFonts w:ascii="Times New Roman" w:hAnsi="Times New Roman" w:cs="Times New Roman"/>
          <w:sz w:val="24"/>
          <w:szCs w:val="24"/>
        </w:rPr>
        <w:t xml:space="preserve"> </w:t>
      </w:r>
      <w:r w:rsidRPr="00A12F11">
        <w:rPr>
          <w:rFonts w:ascii="Times New Roman" w:hAnsi="Times New Roman" w:cs="Times New Roman"/>
          <w:sz w:val="24"/>
          <w:szCs w:val="24"/>
        </w:rPr>
        <w:t>в период с даты вступления в силу договора аренды до даты прекращения прав и обязательств по договору в соответствии с действующим законодательством или договором.</w:t>
      </w:r>
    </w:p>
    <w:p w14:paraId="7E6CC5B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Оценка справедливой стоимости актива в форме права пользования по такому договору аренды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актива в форме права пользования по договору аренды определяется с использованием доходного подхода по приведенной стоимости. Дисконтированию подлежат ежегодные арендные платежи согласно сроку аренды</w:t>
      </w:r>
      <w:r w:rsidRPr="00A12F11">
        <w:rPr>
          <w:rFonts w:ascii="Times New Roman" w:hAnsi="Times New Roman" w:cs="Times New Roman"/>
          <w:sz w:val="24"/>
          <w:szCs w:val="24"/>
          <w:lang w:eastAsia="ru-RU"/>
        </w:rPr>
        <w:t xml:space="preserve">. </w:t>
      </w:r>
      <w:r w:rsidRPr="00A12F11">
        <w:rPr>
          <w:rFonts w:ascii="Times New Roman" w:hAnsi="Times New Roman" w:cs="Times New Roman"/>
          <w:sz w:val="24"/>
          <w:szCs w:val="24"/>
        </w:rPr>
        <w:t xml:space="preserve">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28"/>
      </w:r>
      <w:r w:rsidRPr="00A12F11">
        <w:rPr>
          <w:rFonts w:ascii="Times New Roman" w:hAnsi="Times New Roman" w:cs="Times New Roman"/>
          <w:sz w:val="24"/>
          <w:szCs w:val="24"/>
        </w:rPr>
        <w:t xml:space="preserve">. </w:t>
      </w:r>
    </w:p>
    <w:p w14:paraId="2DE8FB1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5DF6128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в договоре информации о ежегодных платежах на весь срок договора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осуществляется расчет арендных платежей исходя из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29"/>
      </w:r>
      <w:r w:rsidRPr="00A12F11">
        <w:rPr>
          <w:rFonts w:ascii="Times New Roman" w:hAnsi="Times New Roman" w:cs="Times New Roman"/>
          <w:sz w:val="24"/>
          <w:szCs w:val="24"/>
        </w:rPr>
        <w:t>.</w:t>
      </w:r>
    </w:p>
    <w:p w14:paraId="44327999" w14:textId="4F3BDFE6"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Аренда иных объектов</w:t>
      </w:r>
    </w:p>
    <w:p w14:paraId="5F6FBC4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актива в форме права пользования иными объектами недвижимости определяется на основании отчета оценщика. </w:t>
      </w:r>
    </w:p>
    <w:p w14:paraId="5C968D2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оценка справедливой стоимости производится до даты, когда станет доступным первый отчет оценщика, справедливая стоимость с использованием доходного подхода по приведенной стоимости. </w:t>
      </w:r>
    </w:p>
    <w:p w14:paraId="16B265E4"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Дисконтированию подлежат расчетные фиксированные арендные платежи, подлежащие начислению за аренду актива с даты, следующей за датой оценки, которые еще не осуществлены на дату оценки, а также прочие арендные платежи в соответствии с договором аренды.</w:t>
      </w:r>
    </w:p>
    <w:p w14:paraId="54FBA94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в договоре информации о ежегодных платежах на весь срок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расчетная годовая арендная плата определяется как частное от деления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30"/>
      </w:r>
      <w:r w:rsidRPr="00A12F11">
        <w:rPr>
          <w:rFonts w:ascii="Times New Roman" w:hAnsi="Times New Roman" w:cs="Times New Roman"/>
          <w:sz w:val="24"/>
          <w:szCs w:val="24"/>
        </w:rPr>
        <w:t xml:space="preserve">. Расчетные фиксированные арендные платежи (т.е. разделение расчетной годовой арендной платы на платежи внутри года) определяются в соответствии с условиями договора аренды. </w:t>
      </w:r>
    </w:p>
    <w:p w14:paraId="559AE82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качестве ставки дисконтирования используется доступная наблюдаемая ставка ожидаемой доходности недвижимости. При отсутствии соответствующей информации используется скорректированная среднерыночная ставка по кредитам в валюте обязательства с релевантным сроком исполнения.</w:t>
      </w:r>
    </w:p>
    <w:p w14:paraId="32C82F2D" w14:textId="6774E5A9"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аренде</w:t>
      </w:r>
    </w:p>
    <w:p w14:paraId="44C6AE7C"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договору аренды</w:t>
      </w:r>
    </w:p>
    <w:p w14:paraId="15209C6C" w14:textId="2C3EE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обязательств по договору аренды оценивается с использованием доходного подхода по приведенной стоимости. Дисконтированию подлежат расчетные арендные платежи согласно сроку аренды, подлежащие начислению за аренду базового актива, которые еще не осуществлены на дату оценки. Расчетные арендные платежи определяются в соответствии с </w:t>
      </w:r>
      <w:r w:rsidR="00B74E8D" w:rsidRPr="00A12F11">
        <w:rPr>
          <w:rFonts w:ascii="Times New Roman" w:hAnsi="Times New Roman" w:cs="Times New Roman"/>
          <w:sz w:val="24"/>
          <w:szCs w:val="24"/>
        </w:rPr>
        <w:t>порядком, указанным в п. 1</w:t>
      </w:r>
      <w:r w:rsidRPr="00A12F11">
        <w:rPr>
          <w:rFonts w:ascii="Times New Roman" w:hAnsi="Times New Roman" w:cs="Times New Roman"/>
          <w:sz w:val="24"/>
          <w:szCs w:val="24"/>
        </w:rPr>
        <w:t>.3.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31"/>
      </w:r>
      <w:r w:rsidRPr="00A12F11">
        <w:rPr>
          <w:rFonts w:ascii="Times New Roman" w:hAnsi="Times New Roman" w:cs="Times New Roman"/>
          <w:sz w:val="24"/>
          <w:szCs w:val="24"/>
        </w:rPr>
        <w:t xml:space="preserve">. </w:t>
      </w:r>
    </w:p>
    <w:p w14:paraId="1F1D98C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4D79DC75"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уплате арендной платы</w:t>
      </w:r>
    </w:p>
    <w:p w14:paraId="570B651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в которых Управляющая компания Фонда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6B333053"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25D1C6B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7BC1C108"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Кредиторская задолженность прекращает признаваться:</w:t>
      </w:r>
    </w:p>
    <w:p w14:paraId="53174C96"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списания денежных средств в счет</w:t>
      </w:r>
      <w:r w:rsidRPr="00A12F11" w:rsidDel="00D2672C">
        <w:rPr>
          <w:rFonts w:ascii="Times New Roman" w:hAnsi="Times New Roman" w:cs="Times New Roman"/>
          <w:sz w:val="24"/>
          <w:szCs w:val="24"/>
        </w:rPr>
        <w:t xml:space="preserve"> </w:t>
      </w:r>
      <w:r w:rsidRPr="00A12F11">
        <w:rPr>
          <w:rFonts w:ascii="Times New Roman" w:hAnsi="Times New Roman" w:cs="Times New Roman"/>
          <w:sz w:val="24"/>
          <w:szCs w:val="24"/>
        </w:rPr>
        <w:t>оплаты задолженности Управляющей компанией Фонда;</w:t>
      </w:r>
    </w:p>
    <w:p w14:paraId="3FE1F9E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5B3DADF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w:t>
      </w:r>
    </w:p>
    <w:p w14:paraId="6848F29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оплачена Управляющей компанией Фонда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w:t>
      </w:r>
    </w:p>
    <w:p w14:paraId="51906F3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Справедливая стоимость задолженности рассчитывается по формуле:</w:t>
      </w:r>
    </w:p>
    <w:p w14:paraId="2D076653"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Para>
        <m:oMath>
          <m:r>
            <m:rPr>
              <m:sty m:val="p"/>
            </m:rPr>
            <w:rPr>
              <w:rFonts w:ascii="Cambria Math" w:hAnsi="Cambria Math" w:cs="Times New Roman"/>
              <w:sz w:val="24"/>
              <w:szCs w:val="24"/>
            </w:rPr>
            <m:t>КЗ=</m:t>
          </m:r>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FED53B9" w14:textId="77777777" w:rsidR="00B26DEA" w:rsidRPr="00A12F11" w:rsidRDefault="00B26DEA" w:rsidP="00A12F11">
      <w:pPr>
        <w:spacing w:before="240" w:line="276" w:lineRule="auto"/>
        <w:ind w:left="142" w:firstLine="284"/>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1EB1A452"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1FF9958A"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44EA8801" w14:textId="77777777" w:rsidR="00B26DEA" w:rsidRPr="00A12F11" w:rsidRDefault="00421381"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26DEA" w:rsidRPr="00A12F11">
        <w:rPr>
          <w:rFonts w:ascii="Times New Roman" w:hAnsi="Times New Roman" w:cs="Times New Roman"/>
          <w:sz w:val="24"/>
          <w:szCs w:val="24"/>
        </w:rPr>
        <w:t xml:space="preserve"> - дата начала расчетного периода;</w:t>
      </w:r>
    </w:p>
    <w:p w14:paraId="74706308" w14:textId="77777777" w:rsidR="00B26DEA" w:rsidRPr="00A12F11" w:rsidRDefault="00421381"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26DEA" w:rsidRPr="00A12F11">
        <w:rPr>
          <w:rFonts w:ascii="Times New Roman" w:hAnsi="Times New Roman" w:cs="Times New Roman"/>
          <w:sz w:val="24"/>
          <w:szCs w:val="24"/>
        </w:rPr>
        <w:t xml:space="preserve"> - дата окончания расчетного периода.</w:t>
      </w:r>
    </w:p>
    <w:p w14:paraId="6BCE7511" w14:textId="31F5DEE4" w:rsidR="00F1310D" w:rsidRPr="00A12F11" w:rsidRDefault="00B26DEA" w:rsidP="00A12F11">
      <w:pPr>
        <w:spacing w:before="240" w:line="276" w:lineRule="auto"/>
        <w:ind w:left="142" w:firstLine="284"/>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обязательства различается с последним днем периода, определяемым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обязательства рассчитывается линейным методом вплоть до такого последнего дня расчетного периода по договору.</w:t>
      </w:r>
    </w:p>
    <w:p w14:paraId="5D15267E" w14:textId="77777777"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Краткосрочная аренда и аренда малоценных предметов</w:t>
      </w:r>
    </w:p>
    <w:p w14:paraId="0F72AA96" w14:textId="10AC2D89" w:rsidR="00B26DEA" w:rsidRPr="00745D70" w:rsidRDefault="00B26DEA" w:rsidP="00A12F11">
      <w:pPr>
        <w:pStyle w:val="5"/>
        <w:spacing w:before="240" w:after="160" w:line="276" w:lineRule="auto"/>
        <w:ind w:left="409"/>
        <w:jc w:val="both"/>
        <w:rPr>
          <w:rFonts w:ascii="Times New Roman" w:eastAsia="Calibri" w:hAnsi="Times New Roman" w:cs="Times New Roman"/>
          <w:color w:val="auto"/>
        </w:rPr>
      </w:pPr>
      <w:r w:rsidRPr="00745D70">
        <w:rPr>
          <w:rFonts w:ascii="Times New Roman" w:eastAsia="Calibri" w:hAnsi="Times New Roman" w:cs="Times New Roman"/>
          <w:color w:val="auto"/>
        </w:rPr>
        <w:t>Управляющая компания Фонда не осуществляет признание актива и обязательства в соответствии с п. 1.1. Правил в отношении следующих позиций:</w:t>
      </w:r>
    </w:p>
    <w:p w14:paraId="3D06E4CE"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xml:space="preserve">- краткосрочная аренда; </w:t>
      </w:r>
    </w:p>
    <w:p w14:paraId="4C848209"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 малоценных активов.</w:t>
      </w:r>
    </w:p>
    <w:p w14:paraId="127D6CE3" w14:textId="77777777" w:rsidR="00B26DEA" w:rsidRPr="00A12F11" w:rsidRDefault="00B26DEA" w:rsidP="00A12F11">
      <w:pPr>
        <w:pStyle w:val="a1"/>
        <w:numPr>
          <w:ilvl w:val="0"/>
          <w:numId w:val="0"/>
        </w:numPr>
        <w:spacing w:before="240" w:after="160" w:line="276" w:lineRule="auto"/>
        <w:ind w:left="709"/>
        <w:rPr>
          <w:sz w:val="24"/>
          <w:szCs w:val="24"/>
        </w:rPr>
      </w:pPr>
    </w:p>
    <w:p w14:paraId="70C6FD3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 xml:space="preserve">Краткосрочная аренда – </w:t>
      </w:r>
      <w:r w:rsidRPr="00A12F11">
        <w:rPr>
          <w:rFonts w:ascii="Times New Roman" w:hAnsi="Times New Roman" w:cs="Times New Roman"/>
          <w:sz w:val="24"/>
          <w:szCs w:val="24"/>
        </w:rPr>
        <w:t xml:space="preserve">договор аренды, по которому на дату начала аренды предусмотренный срок аренды составляет не более 12 месяцев. Договор аренды, который содержит опцион на покупку, не является краткосрочной арендой. </w:t>
      </w:r>
    </w:p>
    <w:p w14:paraId="1CEDA63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Аренда малоценных активов</w:t>
      </w:r>
      <w:r w:rsidRPr="00A12F11">
        <w:rPr>
          <w:rFonts w:ascii="Times New Roman" w:hAnsi="Times New Roman" w:cs="Times New Roman"/>
          <w:sz w:val="24"/>
          <w:szCs w:val="24"/>
        </w:rPr>
        <w:t xml:space="preserve"> – аренда актива, справедливая стоимость которого в новом состоянии не превышает 100 000 (Ста тысяч) рублей</w:t>
      </w:r>
      <w:r w:rsidRPr="00A12F11">
        <w:rPr>
          <w:rFonts w:ascii="Times New Roman" w:hAnsi="Times New Roman" w:cs="Times New Roman"/>
          <w:sz w:val="24"/>
          <w:szCs w:val="24"/>
          <w:vertAlign w:val="superscript"/>
        </w:rPr>
        <w:footnoteReference w:id="32"/>
      </w:r>
      <w:r w:rsidRPr="00A12F11">
        <w:rPr>
          <w:rFonts w:ascii="Times New Roman" w:hAnsi="Times New Roman" w:cs="Times New Roman"/>
          <w:sz w:val="24"/>
          <w:szCs w:val="24"/>
        </w:rPr>
        <w:t xml:space="preserve"> при соблюдении следующих условий:</w:t>
      </w:r>
    </w:p>
    <w:p w14:paraId="640D4CB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арендатор может получить выгоду от использования базового актива либо в отдельности, либо вместе с другими ресурсами, к которым у арендатора имеется свободный доступ; и</w:t>
      </w:r>
    </w:p>
    <w:p w14:paraId="6D43E03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базовый актив не находится в сильной зависимости от других активов или в тесной взаимосвязи с ними;</w:t>
      </w:r>
    </w:p>
    <w:p w14:paraId="5FFC92FD"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арендатор не предоставляет актив в субаренду или не планирует предоставлять актив в субаренду.</w:t>
      </w:r>
    </w:p>
    <w:p w14:paraId="779FCFF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48FB4C8B" w14:textId="1101E49E"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этом случае признается и оценивается обязательство по уплате арендной платы в соответствии с п. 1.4.2. Правил.</w:t>
      </w:r>
    </w:p>
    <w:p w14:paraId="6BB4415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7D3BA66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Прекращение признания обязательства Фонда по уплате арендной платы в рамках настоящего раздела производится на дату:</w:t>
      </w:r>
    </w:p>
    <w:p w14:paraId="746CC5A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прекращения обязательства исполнением или иным законным способом;</w:t>
      </w:r>
    </w:p>
    <w:p w14:paraId="0BE806C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перевода долга; </w:t>
      </w:r>
    </w:p>
    <w:p w14:paraId="5F58585B" w14:textId="399444B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случае модификации договора аренды либо в случае изменения срока аренды, если в результате таких изменений аренда утрачивает признаки краткосрочной аренды или аренды малоценных активов (в этом случае договор аренды считается новым договором).</w:t>
      </w:r>
    </w:p>
    <w:p w14:paraId="2F6D0E9B" w14:textId="76735CC8"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b/>
          <w:sz w:val="24"/>
          <w:szCs w:val="24"/>
        </w:rPr>
        <w:t>2.1. Признание, прекращение признания и оценка платежей по уплате арендной платы при предоставлении актива в операционную аренду</w:t>
      </w:r>
    </w:p>
    <w:p w14:paraId="05D62A60"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по которым Управляющая компания Фонда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0424651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0346F06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5380AEF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прекращает признаваться:</w:t>
      </w:r>
    </w:p>
    <w:p w14:paraId="0AC487D6"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её оплаты арендатором (исполнения обязательств);</w:t>
      </w:r>
    </w:p>
    <w:p w14:paraId="309BC1E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626ABEB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 </w:t>
      </w:r>
    </w:p>
    <w:p w14:paraId="34235FBA"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14:paraId="4C1C35F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Справедливая стоимость задолженности рассчитывается по формуле:</w:t>
      </w:r>
    </w:p>
    <w:p w14:paraId="714F24F0"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Para>
        <m:oMath>
          <m:r>
            <m:rPr>
              <m:sty m:val="p"/>
            </m:rPr>
            <w:rPr>
              <w:rFonts w:ascii="Cambria Math" w:hAnsi="Cambria Math" w:cs="Times New Roman"/>
              <w:sz w:val="24"/>
              <w:szCs w:val="24"/>
            </w:rPr>
            <m:t>ДЗ=P*</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448EDB9" w14:textId="77777777" w:rsidR="00B74E8D" w:rsidRPr="00A12F11" w:rsidRDefault="00B74E8D" w:rsidP="00A12F11">
      <w:pPr>
        <w:spacing w:before="240" w:line="276" w:lineRule="auto"/>
        <w:ind w:firstLine="426"/>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7CD48049"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7F4A658E"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6426EE4C" w14:textId="77777777" w:rsidR="00B74E8D" w:rsidRPr="00A12F11" w:rsidRDefault="00421381"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74E8D" w:rsidRPr="00A12F11">
        <w:rPr>
          <w:rFonts w:ascii="Times New Roman" w:hAnsi="Times New Roman" w:cs="Times New Roman"/>
          <w:sz w:val="24"/>
          <w:szCs w:val="24"/>
        </w:rPr>
        <w:t xml:space="preserve"> -  дата начала расчетного периода;</w:t>
      </w:r>
    </w:p>
    <w:p w14:paraId="4490C13C" w14:textId="77777777" w:rsidR="00B74E8D" w:rsidRPr="00A12F11" w:rsidRDefault="00421381"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74E8D" w:rsidRPr="00A12F11">
        <w:rPr>
          <w:rFonts w:ascii="Times New Roman" w:hAnsi="Times New Roman" w:cs="Times New Roman"/>
          <w:sz w:val="24"/>
          <w:szCs w:val="24"/>
        </w:rPr>
        <w:t xml:space="preserve"> - дата окончания расчетного периода.</w:t>
      </w:r>
    </w:p>
    <w:p w14:paraId="0051FCA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актива различается с последним днем периода, определяемого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актива рассчитывается линейным методом вплоть до такого последнего дня расчетного периода по договору.</w:t>
      </w:r>
    </w:p>
    <w:p w14:paraId="6456750C" w14:textId="77777777"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задолженности в случае необходимости определяется с учетом корректировки в соответствии с порядком, предусмотренным Приложением 2.</w:t>
      </w:r>
    </w:p>
    <w:p w14:paraId="6575A01A" w14:textId="77777777" w:rsidR="00B74E8D" w:rsidRPr="00A12F11" w:rsidRDefault="00B74E8D" w:rsidP="00A12F11">
      <w:pPr>
        <w:pStyle w:val="a1"/>
        <w:numPr>
          <w:ilvl w:val="0"/>
          <w:numId w:val="0"/>
        </w:numPr>
        <w:spacing w:before="240" w:after="160" w:line="276" w:lineRule="auto"/>
        <w:ind w:firstLine="426"/>
        <w:rPr>
          <w:sz w:val="24"/>
          <w:szCs w:val="24"/>
        </w:rPr>
      </w:pPr>
    </w:p>
    <w:p w14:paraId="6C8BED85" w14:textId="758C3AD0" w:rsidR="00B74E8D" w:rsidRPr="00A12F11" w:rsidRDefault="00B74E8D" w:rsidP="00A12F11">
      <w:pPr>
        <w:pStyle w:val="a1"/>
        <w:numPr>
          <w:ilvl w:val="0"/>
          <w:numId w:val="0"/>
        </w:numPr>
        <w:spacing w:before="240" w:after="160" w:line="276" w:lineRule="auto"/>
        <w:ind w:left="284" w:firstLine="426"/>
        <w:rPr>
          <w:sz w:val="24"/>
          <w:szCs w:val="24"/>
        </w:rPr>
      </w:pPr>
      <w:r w:rsidRPr="00A12F11">
        <w:rPr>
          <w:b/>
          <w:sz w:val="24"/>
          <w:szCs w:val="24"/>
        </w:rPr>
        <w:t>2.3. Признание, прекращение признания и оценка платежей по уплате арендной платы</w:t>
      </w:r>
    </w:p>
    <w:p w14:paraId="4F23EC9E" w14:textId="77777777" w:rsidR="00B74E8D" w:rsidRPr="00A12F11" w:rsidRDefault="00B74E8D" w:rsidP="00A12F11">
      <w:pPr>
        <w:pStyle w:val="a1"/>
        <w:numPr>
          <w:ilvl w:val="0"/>
          <w:numId w:val="0"/>
        </w:numPr>
        <w:spacing w:before="240" w:after="160" w:line="276" w:lineRule="auto"/>
        <w:ind w:firstLine="426"/>
        <w:rPr>
          <w:sz w:val="24"/>
          <w:szCs w:val="24"/>
        </w:rPr>
      </w:pPr>
    </w:p>
    <w:p w14:paraId="3039596B" w14:textId="6ACA1A00" w:rsidR="00B74E8D" w:rsidRPr="00A12F11" w:rsidRDefault="00B74E8D" w:rsidP="00A12F11">
      <w:pPr>
        <w:pStyle w:val="a1"/>
        <w:numPr>
          <w:ilvl w:val="0"/>
          <w:numId w:val="0"/>
        </w:numPr>
        <w:spacing w:before="240" w:after="160" w:line="276" w:lineRule="auto"/>
        <w:ind w:firstLine="426"/>
        <w:rPr>
          <w:sz w:val="24"/>
          <w:szCs w:val="24"/>
        </w:rPr>
      </w:pPr>
      <w:r w:rsidRPr="00A12F11">
        <w:rPr>
          <w:sz w:val="24"/>
          <w:szCs w:val="24"/>
        </w:rPr>
        <w:t xml:space="preserve">Признание и оценка дебиторской задолженности по уплате арендной платы в отношении аренды базового актива до даты оценки включительно осуществляются в соответствии с </w:t>
      </w:r>
      <w:r w:rsidR="00BF5DD7" w:rsidRPr="00A12F11">
        <w:rPr>
          <w:sz w:val="24"/>
          <w:szCs w:val="24"/>
        </w:rPr>
        <w:t>п</w:t>
      </w:r>
      <w:r w:rsidRPr="00A12F11">
        <w:rPr>
          <w:sz w:val="24"/>
          <w:szCs w:val="24"/>
        </w:rPr>
        <w:t xml:space="preserve"> 2.1. настоящего </w:t>
      </w:r>
      <w:r w:rsidR="00BF5DD7" w:rsidRPr="00A12F11">
        <w:rPr>
          <w:sz w:val="24"/>
          <w:szCs w:val="24"/>
        </w:rPr>
        <w:t>Приложения.</w:t>
      </w:r>
    </w:p>
    <w:p w14:paraId="5C69829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0B2376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D8D664"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50D7BACE"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E5E7A3C"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51D54D1"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C5889C5"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62CFF06"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43AF09DF"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6D722A03"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4A803B"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3B808A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59AB6A8"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D1865DB" w14:textId="3279186E" w:rsidR="00FD29BB" w:rsidRPr="00A12F11" w:rsidRDefault="00FD29BB"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w:t>
      </w:r>
      <w:r w:rsidR="004C3F80">
        <w:rPr>
          <w:rFonts w:ascii="Times New Roman" w:hAnsi="Times New Roman" w:cs="Times New Roman"/>
          <w:b/>
          <w:sz w:val="24"/>
          <w:szCs w:val="24"/>
        </w:rPr>
        <w:t>1</w:t>
      </w:r>
    </w:p>
    <w:p w14:paraId="191A9D9D" w14:textId="6231B3EB" w:rsidR="00816E97" w:rsidRPr="00A12F11" w:rsidRDefault="00816E97" w:rsidP="00A12F11">
      <w:pPr>
        <w:spacing w:before="240" w:line="276" w:lineRule="auto"/>
        <w:ind w:left="426" w:hanging="426"/>
        <w:jc w:val="both"/>
        <w:rPr>
          <w:rFonts w:ascii="Times New Roman" w:hAnsi="Times New Roman" w:cs="Times New Roman"/>
          <w:b/>
          <w:sz w:val="24"/>
          <w:szCs w:val="24"/>
        </w:rPr>
      </w:pPr>
    </w:p>
    <w:p w14:paraId="18D45989" w14:textId="2E69D80D" w:rsidR="00816E97" w:rsidRPr="00A12F11" w:rsidRDefault="00816E9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МОДЕЛЬ ОПРЕДЕЛЕНИЯ РАСЧЕТНОЙ ЦЕНЫ ДЛЯ ДОЛГОВЫХ ЦЕННЫХ БУМАГ, НОМИНИРОВАННЫХ В РУ</w:t>
      </w:r>
      <w:r w:rsidR="00D7260A" w:rsidRPr="00A12F11">
        <w:rPr>
          <w:rFonts w:ascii="Times New Roman" w:eastAsiaTheme="majorEastAsia" w:hAnsi="Times New Roman" w:cs="Times New Roman"/>
          <w:b/>
          <w:caps/>
          <w:color w:val="000000" w:themeColor="text1"/>
          <w:sz w:val="24"/>
          <w:szCs w:val="24"/>
        </w:rPr>
        <w:t>БЛЯХ</w:t>
      </w:r>
    </w:p>
    <w:p w14:paraId="2E307EE1" w14:textId="77777777" w:rsidR="00816E97" w:rsidRPr="00A12F11" w:rsidRDefault="00816E97" w:rsidP="00A12F11">
      <w:pPr>
        <w:pStyle w:val="10"/>
        <w:pageBreakBefore w:val="0"/>
        <w:numPr>
          <w:ilvl w:val="0"/>
          <w:numId w:val="0"/>
        </w:numPr>
        <w:spacing w:after="160" w:line="276" w:lineRule="auto"/>
        <w:ind w:left="426" w:hanging="426"/>
        <w:rPr>
          <w:sz w:val="24"/>
          <w:szCs w:val="24"/>
        </w:rPr>
      </w:pPr>
    </w:p>
    <w:p w14:paraId="15803DC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Принципы определения расчетной цены </w:t>
      </w:r>
    </w:p>
    <w:p w14:paraId="73CFC6E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050F49B1" w14:textId="77777777" w:rsidR="00816E97" w:rsidRPr="00A12F11" w:rsidRDefault="00816E97" w:rsidP="00A12F11">
      <w:pPr>
        <w:pStyle w:val="13"/>
        <w:tabs>
          <w:tab w:val="left" w:pos="993"/>
        </w:tabs>
        <w:spacing w:before="240" w:after="160" w:line="276" w:lineRule="auto"/>
        <w:ind w:left="426" w:hanging="426"/>
        <w:jc w:val="both"/>
        <w:rPr>
          <w:rFonts w:eastAsia="Calibri" w:cs="Times New Roman"/>
          <w:szCs w:val="24"/>
          <w:lang w:eastAsia="en-US"/>
        </w:rPr>
      </w:pPr>
      <m:oMathPara>
        <m:oMathParaPr>
          <m:jc m:val="center"/>
        </m:oMathParaPr>
        <m:oMath>
          <m:r>
            <m:rPr>
              <m:sty m:val="p"/>
            </m:rPr>
            <w:rPr>
              <w:rFonts w:ascii="Cambria Math" w:eastAsia="Calibri" w:hAnsi="Cambria Math" w:cs="Times New Roman"/>
              <w:szCs w:val="24"/>
              <w:lang w:eastAsia="en-US"/>
            </w:rPr>
            <m:t>PV=</m:t>
          </m:r>
          <m:nary>
            <m:naryPr>
              <m:chr m:val="∑"/>
              <m:limLoc m:val="undOvr"/>
              <m:ctrlPr>
                <w:rPr>
                  <w:rFonts w:ascii="Cambria Math" w:eastAsia="Calibri" w:hAnsi="Cambria Math" w:cs="Times New Roman"/>
                  <w:szCs w:val="24"/>
                  <w:lang w:eastAsia="en-US"/>
                </w:rPr>
              </m:ctrlPr>
            </m:naryPr>
            <m:sub>
              <m:r>
                <w:rPr>
                  <w:rFonts w:ascii="Cambria Math" w:eastAsia="Calibri" w:hAnsi="Cambria Math" w:cs="Times New Roman"/>
                  <w:szCs w:val="24"/>
                  <w:lang w:eastAsia="en-US"/>
                </w:rPr>
                <m:t>k</m:t>
              </m:r>
              <m:r>
                <m:rPr>
                  <m:sty m:val="p"/>
                </m:rPr>
                <w:rPr>
                  <w:rFonts w:ascii="Cambria Math" w:eastAsia="Calibri" w:hAnsi="Cambria Math" w:cs="Times New Roman"/>
                  <w:szCs w:val="24"/>
                  <w:lang w:eastAsia="en-US"/>
                </w:rPr>
                <m:t>=1</m:t>
              </m:r>
            </m:sub>
            <m:sup>
              <m:r>
                <w:rPr>
                  <w:rFonts w:ascii="Cambria Math" w:eastAsia="Calibri" w:hAnsi="Cambria Math" w:cs="Times New Roman"/>
                  <w:szCs w:val="24"/>
                  <w:lang w:eastAsia="en-US"/>
                </w:rPr>
                <m:t>n</m:t>
              </m:r>
            </m:sup>
            <m:e>
              <m:f>
                <m:fPr>
                  <m:ctrlPr>
                    <w:rPr>
                      <w:rFonts w:ascii="Cambria Math" w:eastAsia="Calibri" w:hAnsi="Cambria Math" w:cs="Times New Roman"/>
                      <w:szCs w:val="24"/>
                      <w:lang w:eastAsia="en-US"/>
                    </w:rPr>
                  </m:ctrlPr>
                </m:fPr>
                <m:num>
                  <m:sSub>
                    <m:sSubPr>
                      <m:ctrlPr>
                        <w:rPr>
                          <w:rFonts w:ascii="Cambria Math" w:eastAsia="Calibri" w:hAnsi="Cambria Math" w:cs="Times New Roman"/>
                          <w:szCs w:val="24"/>
                          <w:lang w:eastAsia="en-US"/>
                        </w:rPr>
                      </m:ctrlPr>
                    </m:sSubPr>
                    <m:e>
                      <m:r>
                        <w:rPr>
                          <w:rFonts w:ascii="Cambria Math" w:eastAsia="Calibri" w:hAnsi="Cambria Math" w:cs="Times New Roman"/>
                          <w:szCs w:val="24"/>
                          <w:lang w:eastAsia="en-US"/>
                        </w:rPr>
                        <m:t>CF</m:t>
                      </m:r>
                    </m:e>
                    <m:sub>
                      <m:r>
                        <w:rPr>
                          <w:rFonts w:ascii="Cambria Math" w:eastAsia="Calibri" w:hAnsi="Cambria Math" w:cs="Times New Roman"/>
                          <w:szCs w:val="24"/>
                          <w:lang w:eastAsia="en-US"/>
                        </w:rPr>
                        <m:t>k</m:t>
                      </m:r>
                    </m:sub>
                  </m:sSub>
                </m:num>
                <m:den>
                  <m:sSup>
                    <m:sSupPr>
                      <m:ctrlPr>
                        <w:rPr>
                          <w:rFonts w:ascii="Cambria Math" w:eastAsia="Calibri" w:hAnsi="Cambria Math" w:cs="Times New Roman"/>
                          <w:szCs w:val="24"/>
                          <w:lang w:eastAsia="en-US"/>
                        </w:rPr>
                      </m:ctrlPr>
                    </m:sSupPr>
                    <m:e>
                      <m:r>
                        <m:rPr>
                          <m:sty m:val="p"/>
                        </m:rPr>
                        <w:rPr>
                          <w:rFonts w:ascii="Cambria Math" w:eastAsia="Calibri" w:hAnsi="Cambria Math" w:cs="Times New Roman"/>
                          <w:szCs w:val="24"/>
                          <w:lang w:eastAsia="en-US"/>
                        </w:rPr>
                        <m:t>(1+</m:t>
                      </m:r>
                      <m:r>
                        <w:rPr>
                          <w:rFonts w:ascii="Cambria Math" w:eastAsia="Calibri" w:hAnsi="Cambria Math" w:cs="Times New Roman"/>
                          <w:szCs w:val="24"/>
                          <w:lang w:eastAsia="en-US"/>
                        </w:rPr>
                        <m:t>Y</m:t>
                      </m:r>
                      <m:r>
                        <m:rPr>
                          <m:sty m:val="p"/>
                        </m:rPr>
                        <w:rPr>
                          <w:rFonts w:ascii="Cambria Math" w:eastAsia="Calibri" w:hAnsi="Cambria Math" w:cs="Times New Roman"/>
                          <w:szCs w:val="24"/>
                          <w:lang w:eastAsia="en-US"/>
                        </w:rPr>
                        <m:t>)</m:t>
                      </m:r>
                    </m:e>
                    <m:sup>
                      <m:r>
                        <m:rPr>
                          <m:sty m:val="p"/>
                        </m:rPr>
                        <w:rPr>
                          <w:rFonts w:ascii="Cambria Math" w:eastAsia="Calibri" w:hAnsi="Cambria Math" w:cs="Times New Roman"/>
                          <w:szCs w:val="24"/>
                          <w:lang w:eastAsia="en-US"/>
                        </w:rPr>
                        <m:t>(</m:t>
                      </m:r>
                      <m:r>
                        <w:rPr>
                          <w:rFonts w:ascii="Cambria Math" w:eastAsia="Calibri" w:hAnsi="Cambria Math" w:cs="Times New Roman"/>
                          <w:szCs w:val="24"/>
                          <w:lang w:eastAsia="en-US"/>
                        </w:rPr>
                        <m:t>Dk</m:t>
                      </m:r>
                      <m:r>
                        <m:rPr>
                          <m:sty m:val="p"/>
                        </m:rPr>
                        <w:rPr>
                          <w:rFonts w:ascii="Cambria Math" w:eastAsia="Calibri" w:hAnsi="Cambria Math" w:cs="Times New Roman"/>
                          <w:szCs w:val="24"/>
                          <w:lang w:eastAsia="en-US"/>
                        </w:rPr>
                        <m:t>-Дата)/365</m:t>
                      </m:r>
                    </m:sup>
                  </m:sSup>
                </m:den>
              </m:f>
            </m:e>
          </m:nary>
          <m:r>
            <m:rPr>
              <m:sty m:val="p"/>
            </m:rPr>
            <w:rPr>
              <w:rFonts w:ascii="Cambria Math" w:eastAsia="Calibri" w:hAnsi="Cambria Math" w:cs="Times New Roman"/>
              <w:szCs w:val="24"/>
              <w:lang w:eastAsia="en-US"/>
            </w:rPr>
            <m:t>,                                     (2)</m:t>
          </m:r>
        </m:oMath>
      </m:oMathPara>
    </w:p>
    <w:p w14:paraId="368ACB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05B9D37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ab/>
      </w:r>
      <w:r w:rsidRPr="00A12F11">
        <w:rPr>
          <w:rFonts w:ascii="Times New Roman" w:hAnsi="Times New Roman" w:cs="Times New Roman"/>
          <w:sz w:val="24"/>
          <w:szCs w:val="24"/>
        </w:rPr>
        <w:tab/>
        <w:t>- сумма каждого денежного потока, определенная согласно п. 1.2.;</w:t>
      </w:r>
    </w:p>
    <w:p w14:paraId="44F23B18"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дата каждого денежного потока, определенная согласно п .1.2.;</w:t>
      </w:r>
    </w:p>
    <w:p w14:paraId="1BD1F0C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Y</m:t>
        </m:r>
      </m:oMath>
      <w:r w:rsidRPr="00A12F11">
        <w:rPr>
          <w:rFonts w:ascii="Times New Roman" w:hAnsi="Times New Roman" w:cs="Times New Roman"/>
          <w:sz w:val="24"/>
          <w:szCs w:val="24"/>
        </w:rPr>
        <w:tab/>
      </w:r>
      <w:r w:rsidRPr="00A12F11">
        <w:rPr>
          <w:rFonts w:ascii="Times New Roman" w:hAnsi="Times New Roman" w:cs="Times New Roman"/>
          <w:sz w:val="24"/>
          <w:szCs w:val="24"/>
        </w:rPr>
        <w:tab/>
        <w:t>- ставка дисконтирования, определенная согласно п.1.3.;</w:t>
      </w:r>
    </w:p>
    <w:p w14:paraId="600E825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w:t>
      </w:r>
      <w:r w:rsidRPr="00A12F11">
        <w:rPr>
          <w:rFonts w:ascii="Times New Roman" w:hAnsi="Times New Roman" w:cs="Times New Roman"/>
          <w:sz w:val="24"/>
          <w:szCs w:val="24"/>
        </w:rPr>
        <w:tab/>
      </w:r>
      <w:r w:rsidRPr="00A12F11">
        <w:rPr>
          <w:rFonts w:ascii="Times New Roman" w:hAnsi="Times New Roman" w:cs="Times New Roman"/>
          <w:sz w:val="24"/>
          <w:szCs w:val="24"/>
        </w:rPr>
        <w:tab/>
        <w:t>- дата определения справедливой стоимости.</w:t>
      </w:r>
    </w:p>
    <w:p w14:paraId="27AC30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3DEF48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B58C55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используются следующие подходы к округлению:</w:t>
      </w:r>
    </w:p>
    <w:p w14:paraId="4797D866"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округления производятся по правилам математического округления;</w:t>
      </w:r>
    </w:p>
    <w:p w14:paraId="27559EA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 xml:space="preserve"> - будущий денежный поток, значение округляется до 2 знаков после запятой;</w:t>
      </w:r>
    </w:p>
    <w:p w14:paraId="1AB3CE66" w14:textId="77777777" w:rsidR="00816E97" w:rsidRPr="00A12F11" w:rsidRDefault="00421381" w:rsidP="00A12F11">
      <w:pPr>
        <w:pStyle w:val="ac"/>
        <w:numPr>
          <w:ilvl w:val="0"/>
          <w:numId w:val="52"/>
        </w:num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PV</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 xml:space="preserve"> - дисконтированный денежный поток, промежуточные округления не производятся, результат не округляется;</w:t>
      </w:r>
    </w:p>
    <w:p w14:paraId="7F01EA3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oMath>
      <w:r w:rsidRPr="00A12F11">
        <w:rPr>
          <w:rFonts w:ascii="Times New Roman" w:hAnsi="Times New Roman" w:cs="Times New Roman"/>
          <w:sz w:val="24"/>
          <w:szCs w:val="24"/>
        </w:rPr>
        <w:t xml:space="preserve"> – общая сумма дисконтированных денежных потоков, результат округляется до 4 знаков после запятой.</w:t>
      </w:r>
    </w:p>
    <w:p w14:paraId="0782D437" w14:textId="77777777" w:rsidR="00816E97" w:rsidRPr="00A12F11" w:rsidRDefault="00816E97" w:rsidP="00A12F11">
      <w:pPr>
        <w:pStyle w:val="ac"/>
        <w:spacing w:before="240" w:line="276" w:lineRule="auto"/>
        <w:ind w:left="426" w:hanging="426"/>
        <w:jc w:val="both"/>
        <w:rPr>
          <w:rFonts w:ascii="Times New Roman" w:hAnsi="Times New Roman" w:cs="Times New Roman"/>
          <w:sz w:val="24"/>
          <w:szCs w:val="24"/>
        </w:rPr>
      </w:pPr>
    </w:p>
    <w:p w14:paraId="4113F741" w14:textId="77777777" w:rsidR="00816E97" w:rsidRPr="00A12F11" w:rsidRDefault="00816E97" w:rsidP="00A12F11">
      <w:pPr>
        <w:pStyle w:val="ac"/>
        <w:numPr>
          <w:ilvl w:val="1"/>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Формирование графика будущих денежных потоков</w:t>
      </w:r>
    </w:p>
    <w:p w14:paraId="36015813"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Общие подходы.</w:t>
      </w:r>
    </w:p>
    <w:p w14:paraId="6C9C94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4DEAF3C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14:paraId="4995F71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даты оферты, ближайшей к дате определения справедливой стоимости (не включая дату определения справедливой стоимости);</w:t>
      </w:r>
    </w:p>
    <w:p w14:paraId="1934641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даты полного погашения, предусмотренной условиями выпуска. </w:t>
      </w:r>
    </w:p>
    <w:p w14:paraId="09F0146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Под датой денежного потока понимается:</w:t>
      </w:r>
    </w:p>
    <w:p w14:paraId="5A4AA128"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7C156627"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 которой определен ожидаемый срок обращения.</w:t>
      </w:r>
    </w:p>
    <w:p w14:paraId="5BFCD23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Денежные потоки, включая купонный доход, рассчитываются в соответствии с условиями выпуска.</w:t>
      </w:r>
    </w:p>
    <w:p w14:paraId="0D195F2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21630B9E"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6FC180B1"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6D72E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6D0A5F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20C53DD"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индексируемого номинала.</w:t>
      </w:r>
    </w:p>
    <w:p w14:paraId="6DFA102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2D49FA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 xml:space="preserve">1+ПРОГНОЗ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e>
                  </m:d>
                </m:e>
                <m:sup>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365</m:t>
                      </m:r>
                    </m:den>
                  </m:f>
                </m:sup>
              </m:sSup>
              <m:r>
                <m:rPr>
                  <m:sty m:val="p"/>
                </m:rPr>
                <w:rPr>
                  <w:rFonts w:ascii="Cambria Math" w:hAnsi="Cambria Math" w:cs="Times New Roman"/>
                  <w:sz w:val="24"/>
                  <w:szCs w:val="24"/>
                </w:rPr>
                <m:t>,2</m:t>
              </m:r>
            </m:e>
          </m:d>
          <m:r>
            <m:rPr>
              <m:sty m:val="p"/>
            </m:rPr>
            <w:rPr>
              <w:rFonts w:ascii="Cambria Math" w:hAnsi="Cambria Math" w:cs="Times New Roman"/>
              <w:sz w:val="24"/>
              <w:szCs w:val="24"/>
            </w:rPr>
            <m:t>,            (3)</m:t>
          </m:r>
        </m:oMath>
      </m:oMathPara>
    </w:p>
    <w:p w14:paraId="0A0EE3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7827EE6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oMath>
      <w:r w:rsidRPr="00A12F11">
        <w:rPr>
          <w:rFonts w:ascii="Times New Roman" w:hAnsi="Times New Roman" w:cs="Times New Roman"/>
          <w:sz w:val="24"/>
          <w:szCs w:val="24"/>
        </w:rPr>
        <w:tab/>
        <w:t>- искомое значение номинала на дату каждого денежного потока;</w:t>
      </w:r>
    </w:p>
    <w:p w14:paraId="2EF229C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величина номинала, рассчитанная на дату предшествующего денежного потока, но не ранее даты расчета справедливой стоимости;</w:t>
      </w:r>
    </w:p>
    <w:p w14:paraId="1B3AA0D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m:rPr>
                <m:sty m:val="p"/>
              </m:rPr>
              <w:rPr>
                <w:rFonts w:ascii="Cambria Math" w:hAnsi="Cambria Math" w:cs="Times New Roman"/>
                <w:sz w:val="24"/>
                <w:szCs w:val="24"/>
              </w:rPr>
              <m:t>0</m:t>
            </m:r>
          </m:sub>
        </m:sSub>
      </m:oMath>
      <w:r w:rsidRPr="00A12F11">
        <w:rPr>
          <w:rFonts w:ascii="Times New Roman" w:hAnsi="Times New Roman" w:cs="Times New Roman"/>
          <w:sz w:val="24"/>
          <w:szCs w:val="24"/>
        </w:rPr>
        <w:tab/>
        <w:t>- величина номинала на дату определения справедливой стоимости;</w:t>
      </w:r>
    </w:p>
    <w:p w14:paraId="3338821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прогнозное значение инфляции, определенное на дату предшествующего денежного потока (n-1).</w:t>
      </w:r>
    </w:p>
    <w:p w14:paraId="19E3721E"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переменной ставки купона.</w:t>
      </w:r>
    </w:p>
    <w:p w14:paraId="459DA0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22F9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17C7F43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прочих ценных бумаг – исходя из ставки, заданной для наиболее позднего купонного периода.</w:t>
      </w:r>
    </w:p>
    <w:p w14:paraId="6CF184A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Расчет ставок выполняется отдельно для каждого купонного периода. </w:t>
      </w:r>
    </w:p>
    <w:p w14:paraId="0879DE5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A12F11">
        <w:rPr>
          <w:rFonts w:ascii="Times New Roman" w:hAnsi="Times New Roman" w:cs="Times New Roman"/>
          <w:sz w:val="24"/>
          <w:szCs w:val="24"/>
        </w:rPr>
        <w:footnoteRef/>
      </w:r>
      <w:r w:rsidRPr="00A12F11">
        <w:rPr>
          <w:rFonts w:ascii="Times New Roman" w:hAnsi="Times New Roman" w:cs="Times New Roman"/>
          <w:sz w:val="24"/>
          <w:szCs w:val="24"/>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465499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36A055D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00A9BD5"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инфляции</w:t>
      </w:r>
    </w:p>
    <w:p w14:paraId="72091C1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прогнозных значений инфляции (ПРОГНОЗ ИПЦ) используются значения:</w:t>
      </w:r>
    </w:p>
    <w:p w14:paraId="62874C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«вмененной» инфляции (далее также – ВИПЦ, INF);</w:t>
      </w:r>
    </w:p>
    <w:p w14:paraId="7B8C33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4C9E2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6A1F1833"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                                     (4)</m:t>
          </m:r>
        </m:oMath>
      </m:oMathPara>
    </w:p>
    <w:p w14:paraId="45F04DF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2EEBFD16"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2024-2028</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d>
                <m:dPr>
                  <m:ctrlPr>
                    <w:rPr>
                      <w:rFonts w:ascii="Cambria Math" w:hAnsi="Cambria Math" w:cs="Times New Roman"/>
                      <w:sz w:val="24"/>
                      <w:szCs w:val="24"/>
                    </w:rPr>
                  </m:ctrlPr>
                </m:dPr>
                <m:e>
                  <m:rad>
                    <m:radPr>
                      <m:ctrlPr>
                        <w:rPr>
                          <w:rFonts w:ascii="Cambria Math" w:hAnsi="Cambria Math" w:cs="Times New Roman"/>
                          <w:sz w:val="24"/>
                          <w:szCs w:val="24"/>
                        </w:rPr>
                      </m:ctrlPr>
                    </m:radPr>
                    <m:deg>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sup>
                          </m:sSup>
                        </m:den>
                      </m:f>
                    </m:e>
                  </m:rad>
                  <m:r>
                    <m:rPr>
                      <m:sty m:val="p"/>
                    </m:rPr>
                    <w:rPr>
                      <w:rFonts w:ascii="Cambria Math" w:hAnsi="Cambria Math" w:cs="Times New Roman"/>
                      <w:sz w:val="24"/>
                      <w:szCs w:val="24"/>
                    </w:rPr>
                    <m:t>-1</m:t>
                  </m:r>
                </m:e>
              </m:d>
              <m:r>
                <m:rPr>
                  <m:sty m:val="p"/>
                </m:rPr>
                <w:rPr>
                  <w:rFonts w:ascii="Cambria Math" w:hAnsi="Cambria Math" w:cs="Times New Roman"/>
                  <w:sz w:val="24"/>
                  <w:szCs w:val="24"/>
                </w:rPr>
                <m:t>, 4</m:t>
              </m:r>
            </m:e>
          </m:d>
          <m:r>
            <m:rPr>
              <m:sty m:val="p"/>
            </m:rPr>
            <w:rPr>
              <w:rFonts w:ascii="Cambria Math" w:hAnsi="Cambria Math" w:cs="Times New Roman"/>
              <w:sz w:val="24"/>
              <w:szCs w:val="24"/>
            </w:rPr>
            <m:t>*100,       (5)</m:t>
          </m:r>
        </m:oMath>
      </m:oMathPara>
    </w:p>
    <w:p w14:paraId="2E58EE3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B86B4F"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                                     (6)</m:t>
          </m:r>
        </m:oMath>
      </m:oMathPara>
    </w:p>
    <w:p w14:paraId="51F984AC" w14:textId="77777777" w:rsidR="00816E97" w:rsidRPr="00A12F11" w:rsidRDefault="00421381"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C63A58E" w14:textId="77777777" w:rsidR="00816E97" w:rsidRPr="00A12F11" w:rsidRDefault="00421381"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5D32814" w14:textId="77777777" w:rsidR="00816E97" w:rsidRPr="00A12F11" w:rsidRDefault="00421381"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50B56BE5" w14:textId="77777777" w:rsidR="00816E97" w:rsidRPr="00A12F11" w:rsidRDefault="00421381"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выпусков ОФЗ 52001RMFS, 52002RMFS;</w:t>
      </w:r>
    </w:p>
    <w:p w14:paraId="5AF907DB" w14:textId="77777777" w:rsidR="00816E97" w:rsidRPr="00A12F11" w:rsidRDefault="00421381"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средневзвешенная доходность к погашению выпусков ОФЗ 52001RMFS, 52002RMFS на дату оценки, публикуемая Московской биржей.</w:t>
      </w:r>
    </w:p>
    <w:p w14:paraId="1EAF4A5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45C3565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выполнении расчета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2024-2028</m:t>
            </m:r>
          </m:sub>
        </m:sSub>
      </m:oMath>
      <w:r w:rsidRPr="00A12F11">
        <w:rPr>
          <w:rFonts w:ascii="Times New Roman" w:hAnsi="Times New Roman" w:cs="Times New Roman"/>
          <w:sz w:val="24"/>
          <w:szCs w:val="24"/>
        </w:rPr>
        <w:t xml:space="preserve"> значения показателей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Pr="00A12F11">
        <w:rPr>
          <w:rFonts w:ascii="Times New Roman" w:hAnsi="Times New Roman" w:cs="Times New Roman"/>
          <w:sz w:val="24"/>
          <w:szCs w:val="24"/>
        </w:rPr>
        <w:t>, которые в результате их расчета по формулам (4), (6) являются значениями в процентах, переводятся в значения долях единицы (путем деления каждого из них на 100 - что явно отражено в формуле (5)). Результат расчета по формуле (5) соответствует значению в процентах, округленному до 2 знаков после запятой.</w:t>
      </w:r>
    </w:p>
    <w:p w14:paraId="71D397E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с 2029 г., в качестве прогноза инфляции используется экспертный прогноз инфляции.</w:t>
      </w:r>
    </w:p>
    <w:p w14:paraId="5D76518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w:t>
      </w:r>
    </w:p>
    <w:p w14:paraId="1F228A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B1F7E4B"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прочих переменных параметров</w:t>
      </w:r>
    </w:p>
    <w:p w14:paraId="523CB51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7DFB6BB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31607F8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RUONIA</w:t>
      </w:r>
    </w:p>
    <w:p w14:paraId="5E0970D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1 неделя, 2 недели, 1 месяц</w:t>
      </w:r>
    </w:p>
    <w:p w14:paraId="2B3A487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«overnight», 1 неделя, 2 недели, 1 месяц</w:t>
      </w:r>
    </w:p>
    <w:p w14:paraId="75FBA43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РЕПО, по операциям Центрального банка Российской Федерации на срок до одного месяца (включительно)</w:t>
      </w:r>
    </w:p>
    <w:p w14:paraId="51D7FD1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Центрального банка Российской Федерации</w:t>
      </w:r>
    </w:p>
    <w:p w14:paraId="66163CA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до одного месяца (включительно).</w:t>
      </w:r>
    </w:p>
    <w:p w14:paraId="7E214A1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5E2592B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279DE94"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                                                         (7)</m:t>
          </m:r>
        </m:oMath>
      </m:oMathPara>
    </w:p>
    <w:p w14:paraId="785CAFC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6D0413C"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=ОКРУГЛ(СРЗНАЧ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,4),                                                      (8)</m:t>
          </m:r>
        </m:oMath>
      </m:oMathPara>
    </w:p>
    <w:p w14:paraId="4E6349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206AD61"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P</m:t>
                  </m:r>
                  <m:r>
                    <m:rPr>
                      <m:sty m:val="p"/>
                    </m:rPr>
                    <w:rPr>
                      <w:rFonts w:ascii="Cambria Math" w:hAnsi="Cambria Math" w:cs="Times New Roman"/>
                      <w:sz w:val="24"/>
                      <w:szCs w:val="24"/>
                    </w:rPr>
                    <m:t>-1 000</m:t>
                  </m:r>
                </m:e>
              </m:d>
            </m:num>
            <m:den>
              <m:r>
                <m:rPr>
                  <m:sty m:val="p"/>
                </m:rPr>
                <w:rPr>
                  <w:rFonts w:ascii="Cambria Math" w:hAnsi="Cambria Math" w:cs="Times New Roman"/>
                  <w:sz w:val="24"/>
                  <w:szCs w:val="24"/>
                </w:rPr>
                <m:t>1 000×</m:t>
              </m:r>
              <m:r>
                <w:rPr>
                  <w:rFonts w:ascii="Cambria Math" w:hAnsi="Cambria Math" w:cs="Times New Roman"/>
                  <w:sz w:val="24"/>
                  <w:szCs w:val="24"/>
                </w:rPr>
                <m:t>t</m:t>
              </m:r>
            </m:den>
          </m:f>
          <m:r>
            <m:rPr>
              <m:sty m:val="p"/>
            </m:rPr>
            <w:rPr>
              <w:rFonts w:ascii="Cambria Math" w:hAnsi="Cambria Math" w:cs="Times New Roman"/>
              <w:sz w:val="24"/>
              <w:szCs w:val="24"/>
            </w:rPr>
            <m:t>,                                                               (9)</m:t>
          </m:r>
        </m:oMath>
      </m:oMathPara>
    </w:p>
    <w:p w14:paraId="653636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BE265FD"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оцениваемого инструмента;</w:t>
      </w:r>
    </w:p>
    <w:p w14:paraId="676F883A"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3CCA19DF"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304F6311"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 xml:space="preserve"> принимается равной 1.60%);</w:t>
      </w:r>
    </w:p>
    <w:p w14:paraId="709861F5"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ab/>
        <w:t>- цена (без учета купонного дохода) конкретного выпуска ОФЗ-ПК на дату расчета в рублях;</w:t>
      </w:r>
    </w:p>
    <w:p w14:paraId="20F2EB97"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ab/>
        <w:t>- средневзвешенный срок до погашения конкретного выпуска ОФЗ-ПК.</w:t>
      </w:r>
    </w:p>
    <w:p w14:paraId="2244D5C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5CADA1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121C61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включает следующие выпуски: 29006RMFS; 29007RMFS; 29008RMFS; 29009RMFS; 29010RMFS; 29012RMFS; 24020RMFS.</w:t>
      </w:r>
    </w:p>
    <w:p w14:paraId="65CE418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34B4E7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пересматривается в следующих случаях:</w:t>
      </w:r>
    </w:p>
    <w:p w14:paraId="1B2E9FA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размещение новых выпусков ОФЗ-ПК;</w:t>
      </w:r>
    </w:p>
    <w:p w14:paraId="66AFE29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установление ранее неопределенных ставок купона на весь ожидаемый срок обращения ОФЗ-ПК, включенного в корзину.</w:t>
      </w:r>
    </w:p>
    <w:p w14:paraId="0494D7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Новый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и дата начала его применения устанавливаются по согласованию со СД  и не требуют внесения соответствующих изменений в настоящую Методику (утверждения новой редакции Методики).</w:t>
      </w:r>
    </w:p>
    <w:p w14:paraId="5D092F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7EC7D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4EC676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на дату расчета 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w:t>
      </w:r>
    </w:p>
    <w:p w14:paraId="2EBDDB9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9DA1F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E5C76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Показатель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w:t>
      </w:r>
    </w:p>
    <w:p w14:paraId="6C341AF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Например, при ставке 5-летней ОФЗ в размере 8.57% и значения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в размере 0.52% рыночные ожидания по среднему значению ставки RUONIA в течение 5 лет составят 8.02%.</w:t>
      </w:r>
    </w:p>
    <w:p w14:paraId="25FAE3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4F76047"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41353A0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32007EF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2 месяца, 3 месяца, 6 месяцев;</w:t>
      </w:r>
    </w:p>
    <w:p w14:paraId="58133101"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2 месяца, 3 месяца, 6 месяцев;</w:t>
      </w:r>
    </w:p>
    <w:p w14:paraId="734BCF73" w14:textId="77777777" w:rsidR="00816E97" w:rsidRPr="00A12F11" w:rsidRDefault="00816E97" w:rsidP="00A12F11">
      <w:pPr>
        <w:pStyle w:val="ac"/>
        <w:numPr>
          <w:ilvl w:val="0"/>
          <w:numId w:val="54"/>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от 1 месяца до 2 лет (включительно).</w:t>
      </w:r>
    </w:p>
    <w:p w14:paraId="3E6251A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CE4776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3C643B3"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e>
          </m:d>
          <m:r>
            <m:rPr>
              <m:sty m:val="p"/>
            </m:rPr>
            <w:rPr>
              <w:rFonts w:ascii="Cambria Math" w:hAnsi="Cambria Math" w:cs="Times New Roman"/>
              <w:sz w:val="24"/>
              <w:szCs w:val="24"/>
            </w:rPr>
            <m:t>,                        (10)</m:t>
          </m:r>
        </m:oMath>
      </m:oMathPara>
    </w:p>
    <w:p w14:paraId="281FFF3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6E8EF556" w14:textId="77777777" w:rsidR="00816E97" w:rsidRPr="00A12F11" w:rsidRDefault="00421381"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00816E97" w:rsidRPr="00A12F11">
        <w:rPr>
          <w:rFonts w:ascii="Times New Roman" w:hAnsi="Times New Roman" w:cs="Times New Roman"/>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7D66D6F4" w14:textId="77777777" w:rsidR="00816E97" w:rsidRPr="00A12F11" w:rsidRDefault="00421381"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oMath>
      <w:r w:rsidR="00816E97" w:rsidRPr="00A12F11">
        <w:rPr>
          <w:rFonts w:ascii="Times New Roman" w:hAnsi="Times New Roman" w:cs="Times New Roman"/>
          <w:sz w:val="24"/>
          <w:szCs w:val="24"/>
        </w:rPr>
        <w:tab/>
        <w:t>- значение Ставки КБД в точке, соответствующей сроку в 0.0027 года.</w:t>
      </w:r>
    </w:p>
    <w:p w14:paraId="6D51527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63D4800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определении значения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Pr="00A12F11">
        <w:rPr>
          <w:rFonts w:ascii="Times New Roman" w:hAnsi="Times New Roman" w:cs="Times New Roman"/>
          <w:sz w:val="24"/>
          <w:szCs w:val="24"/>
        </w:rPr>
        <w:t xml:space="preserve"> точка, соответствующая срочности переменного параметра плавающей процентной ставки, определяется в порядке, установленном п.2.</w:t>
      </w:r>
    </w:p>
    <w:p w14:paraId="6A3FA7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6FCD951"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14:paraId="4D29B0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5372460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свыше 2 лет;</w:t>
      </w:r>
    </w:p>
    <w:p w14:paraId="61F65D07"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доходность к погашению выпуска ОФЗ.</w:t>
      </w:r>
    </w:p>
    <w:p w14:paraId="435BBC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15B1DA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F8CFDB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2EED0C0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56F22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28D075C"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прочих переменных параметров (помимо ставок денежного рынка).</w:t>
      </w:r>
    </w:p>
    <w:p w14:paraId="176023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A12F11" w:rsidDel="00E64FB6">
        <w:rPr>
          <w:rFonts w:ascii="Times New Roman" w:hAnsi="Times New Roman" w:cs="Times New Roman"/>
          <w:sz w:val="24"/>
          <w:szCs w:val="24"/>
        </w:rPr>
        <w:t xml:space="preserve"> </w:t>
      </w:r>
    </w:p>
    <w:p w14:paraId="5E4C03F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541D7A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Определение ставки дисконтирования </w:t>
      </w:r>
    </w:p>
    <w:p w14:paraId="69FBEEB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010218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4863A909" w14:textId="77777777" w:rsidR="00816E97" w:rsidRPr="00A12F11" w:rsidRDefault="00816E97" w:rsidP="00A12F11">
      <w:pPr>
        <w:pStyle w:val="ac"/>
        <w:numPr>
          <w:ilvl w:val="0"/>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расчете ставки дисконтирования могут быть использованы:</w:t>
      </w:r>
    </w:p>
    <w:p w14:paraId="3258A752"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экспертное значение кредитного спреда</w:t>
      </w:r>
    </w:p>
    <w:p w14:paraId="0E17CD0F"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0F5C8A9F" w14:textId="1146B0D8" w:rsidR="00207B0A"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14:paraId="3DDAB935" w14:textId="77777777" w:rsidR="00207B0A" w:rsidRPr="00A12F11" w:rsidRDefault="00207B0A" w:rsidP="00A12F11">
      <w:pPr>
        <w:spacing w:before="240" w:line="276" w:lineRule="auto"/>
        <w:ind w:left="426" w:hanging="426"/>
        <w:jc w:val="both"/>
        <w:rPr>
          <w:rFonts w:ascii="Times New Roman" w:hAnsi="Times New Roman" w:cs="Times New Roman"/>
          <w:sz w:val="24"/>
          <w:szCs w:val="24"/>
        </w:rPr>
      </w:pPr>
    </w:p>
    <w:p w14:paraId="4B82787C" w14:textId="6C3EBCB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7551C6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14:paraId="472EFF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70FA42B9"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РЕГЛАМЕНТ РАСЧЕТА КРЕДИТНОГО СПРЕДА ДЛЯ ДОЛГОВЫХ ИНСТРУМЕНТОВ</w:t>
      </w:r>
    </w:p>
    <w:p w14:paraId="4BDEA03A"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регламентом кредитный спред рассчитывается для (далее именуется долговой инструмент):</w:t>
      </w:r>
    </w:p>
    <w:p w14:paraId="36B5B600"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долговой ценной бумаги, номинированной в рублях (за исключением государственных ценных бумаг РФ);</w:t>
      </w:r>
    </w:p>
    <w:p w14:paraId="7413EB2C"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кредитного спреда осуществляется следующая последовательность действий в отношении долговой ценной бумаги:</w:t>
      </w:r>
    </w:p>
    <w:p w14:paraId="3B31FAA2"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зависимости от наличия или отсутствия кредитного рейтинга у выпуска</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0768F83D"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09D162C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7D6FBE5A" w14:textId="77777777" w:rsidR="002B387A" w:rsidRPr="00A12F11" w:rsidRDefault="002B387A" w:rsidP="00A12F11">
      <w:pPr>
        <w:spacing w:before="240" w:line="276" w:lineRule="auto"/>
        <w:ind w:left="426" w:hanging="426"/>
        <w:jc w:val="both"/>
        <w:rPr>
          <w:rFonts w:ascii="Times New Roman" w:hAnsi="Times New Roman" w:cs="Times New Roman"/>
          <w:sz w:val="24"/>
          <w:szCs w:val="24"/>
        </w:rPr>
      </w:pPr>
    </w:p>
    <w:p w14:paraId="17C5E983"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Рейтинговые группы</w:t>
      </w:r>
    </w:p>
    <w:p w14:paraId="1E9BF5F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определения кредитного спреда вводятся следующие рейтинговые группы:</w:t>
      </w:r>
    </w:p>
    <w:p w14:paraId="603716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3C78B13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D342AC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B- до B+ (по шкале S&amp;P).</w:t>
      </w:r>
    </w:p>
    <w:p w14:paraId="555A084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 В указанную рейтинговую группу включаются долговые инструменты:</w:t>
      </w:r>
    </w:p>
    <w:p w14:paraId="79FC92E3"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без рейтинга, присвоенного рейтинговыми агентствами, указанными в Таблице 1, или</w:t>
      </w:r>
    </w:p>
    <w:p w14:paraId="699BFB69"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 рейтингом ниже B- (по шкале S&amp;P), присвоенным рейтинговым агентством, указанным в Таблице 1.</w:t>
      </w:r>
    </w:p>
    <w:p w14:paraId="2008C92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Рейтинговые группы могут быть пересмотрены при выполнении одного из следующих условий:</w:t>
      </w:r>
    </w:p>
    <w:p w14:paraId="0C1AC1F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внесение изменений в методику расчета и состав индексов Московской биржи;</w:t>
      </w:r>
    </w:p>
    <w:p w14:paraId="79906C9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изменение суверенного рейтинга РФ агентствами S&amp;P, Moody’s, Fitch;</w:t>
      </w:r>
    </w:p>
    <w:p w14:paraId="34A37FE1" w14:textId="77777777" w:rsidR="00816E97" w:rsidRPr="00A12F11" w:rsidRDefault="00816E97" w:rsidP="00A12F11">
      <w:pPr>
        <w:numPr>
          <w:ilvl w:val="0"/>
          <w:numId w:val="59"/>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прочие изменения на рынке, признанные существенными для целей определения рейтинговых групп.</w:t>
      </w:r>
    </w:p>
    <w:p w14:paraId="7F6DA118"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Проверка условий для пересмотра рейтинговых групп проводится ежеквартально.</w:t>
      </w:r>
    </w:p>
    <w:p w14:paraId="2A3E5F5F"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принадлежности долгового инструмента к рейтинговой группе</w:t>
      </w:r>
    </w:p>
    <w:p w14:paraId="35DD8D3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0F7F3852" w14:textId="0B00027F"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EA0644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Таблица 1. Сопоставление шкал рейтинговых агентств</w:t>
      </w:r>
    </w:p>
    <w:tbl>
      <w:tblPr>
        <w:tblW w:w="5000" w:type="pct"/>
        <w:jc w:val="center"/>
        <w:tblLayout w:type="fixed"/>
        <w:tblLook w:val="04A0" w:firstRow="1" w:lastRow="0" w:firstColumn="1" w:lastColumn="0" w:noHBand="0" w:noVBand="1"/>
      </w:tblPr>
      <w:tblGrid>
        <w:gridCol w:w="1432"/>
        <w:gridCol w:w="1173"/>
        <w:gridCol w:w="1907"/>
        <w:gridCol w:w="1907"/>
        <w:gridCol w:w="1905"/>
        <w:gridCol w:w="1579"/>
      </w:tblGrid>
      <w:tr w:rsidR="00816E97" w:rsidRPr="00A12F11" w14:paraId="01AC005A" w14:textId="77777777" w:rsidTr="008E7E14">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32C9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696D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3C96AE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Moody`s</w:t>
            </w:r>
          </w:p>
        </w:tc>
        <w:tc>
          <w:tcPr>
            <w:tcW w:w="963" w:type="pct"/>
            <w:tcBorders>
              <w:top w:val="single" w:sz="8" w:space="0" w:color="auto"/>
              <w:left w:val="nil"/>
              <w:bottom w:val="single" w:sz="8" w:space="0" w:color="auto"/>
              <w:right w:val="nil"/>
            </w:tcBorders>
            <w:shd w:val="clear" w:color="auto" w:fill="auto"/>
            <w:vAlign w:val="center"/>
            <w:hideMark/>
          </w:tcPr>
          <w:p w14:paraId="7BB0890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51A3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CBAE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w:t>
            </w:r>
          </w:p>
        </w:tc>
      </w:tr>
      <w:tr w:rsidR="00816E97" w:rsidRPr="00A12F11" w14:paraId="1D612089" w14:textId="77777777" w:rsidTr="008E7E14">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961F8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044B65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vAlign w:val="center"/>
            <w:hideMark/>
          </w:tcPr>
          <w:p w14:paraId="07151EB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504777B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60C98F2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8506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319B65AB" w14:textId="77777777" w:rsidTr="008E7E14">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3229FC5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AAA(RU)</w:t>
            </w:r>
          </w:p>
        </w:tc>
        <w:tc>
          <w:tcPr>
            <w:tcW w:w="592" w:type="pct"/>
            <w:vMerge w:val="restart"/>
            <w:tcBorders>
              <w:top w:val="nil"/>
              <w:left w:val="nil"/>
              <w:right w:val="single" w:sz="8" w:space="0" w:color="auto"/>
            </w:tcBorders>
            <w:shd w:val="clear" w:color="auto" w:fill="auto"/>
            <w:vAlign w:val="center"/>
            <w:hideMark/>
          </w:tcPr>
          <w:p w14:paraId="0FC3586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5423080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Ваа1</w:t>
            </w:r>
          </w:p>
        </w:tc>
        <w:tc>
          <w:tcPr>
            <w:tcW w:w="963" w:type="pct"/>
            <w:tcBorders>
              <w:top w:val="nil"/>
              <w:left w:val="nil"/>
              <w:bottom w:val="single" w:sz="8" w:space="0" w:color="auto"/>
              <w:right w:val="single" w:sz="8" w:space="0" w:color="auto"/>
            </w:tcBorders>
            <w:shd w:val="clear" w:color="auto" w:fill="auto"/>
            <w:vAlign w:val="center"/>
            <w:hideMark/>
          </w:tcPr>
          <w:p w14:paraId="5EF7357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CCA7F3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7FB6F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w:t>
            </w:r>
          </w:p>
        </w:tc>
      </w:tr>
      <w:tr w:rsidR="00816E97" w:rsidRPr="00A12F11" w14:paraId="18FD5980" w14:textId="77777777" w:rsidTr="008E7E14">
        <w:trPr>
          <w:trHeight w:val="345"/>
          <w:jc w:val="center"/>
        </w:trPr>
        <w:tc>
          <w:tcPr>
            <w:tcW w:w="723" w:type="pct"/>
            <w:vMerge/>
            <w:tcBorders>
              <w:left w:val="single" w:sz="8" w:space="0" w:color="auto"/>
              <w:right w:val="single" w:sz="8" w:space="0" w:color="auto"/>
            </w:tcBorders>
            <w:shd w:val="clear" w:color="auto" w:fill="auto"/>
            <w:vAlign w:val="center"/>
            <w:hideMark/>
          </w:tcPr>
          <w:p w14:paraId="31982A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right w:val="single" w:sz="8" w:space="0" w:color="auto"/>
            </w:tcBorders>
            <w:shd w:val="clear" w:color="auto" w:fill="auto"/>
            <w:vAlign w:val="center"/>
            <w:hideMark/>
          </w:tcPr>
          <w:p w14:paraId="35A691B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522FD49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Ваа2</w:t>
            </w:r>
          </w:p>
        </w:tc>
        <w:tc>
          <w:tcPr>
            <w:tcW w:w="963" w:type="pct"/>
            <w:tcBorders>
              <w:top w:val="nil"/>
              <w:left w:val="nil"/>
              <w:bottom w:val="single" w:sz="8" w:space="0" w:color="auto"/>
              <w:right w:val="single" w:sz="8" w:space="0" w:color="auto"/>
            </w:tcBorders>
            <w:shd w:val="clear" w:color="auto" w:fill="auto"/>
            <w:vAlign w:val="center"/>
            <w:hideMark/>
          </w:tcPr>
          <w:p w14:paraId="0FFAB1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F7426B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5FD143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A289305" w14:textId="77777777" w:rsidTr="008E7E14">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4A5F3C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bottom w:val="single" w:sz="8" w:space="0" w:color="auto"/>
              <w:right w:val="single" w:sz="8" w:space="0" w:color="auto"/>
            </w:tcBorders>
            <w:shd w:val="clear" w:color="auto" w:fill="auto"/>
            <w:vAlign w:val="center"/>
            <w:hideMark/>
          </w:tcPr>
          <w:p w14:paraId="42B2DC2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62B4606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Ваа3</w:t>
            </w:r>
          </w:p>
        </w:tc>
        <w:tc>
          <w:tcPr>
            <w:tcW w:w="963" w:type="pct"/>
            <w:tcBorders>
              <w:top w:val="nil"/>
              <w:left w:val="nil"/>
              <w:bottom w:val="single" w:sz="8" w:space="0" w:color="auto"/>
              <w:right w:val="single" w:sz="8" w:space="0" w:color="auto"/>
            </w:tcBorders>
            <w:shd w:val="clear" w:color="auto" w:fill="auto"/>
            <w:vAlign w:val="center"/>
            <w:hideMark/>
          </w:tcPr>
          <w:p w14:paraId="3CE3AEB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05B2145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1BC25A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66FDA2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19CDF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AA+(RU), AA(RU),</w:t>
            </w:r>
          </w:p>
          <w:p w14:paraId="0A4117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7E2E82C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95BF5D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Ва1</w:t>
            </w:r>
          </w:p>
        </w:tc>
        <w:tc>
          <w:tcPr>
            <w:tcW w:w="963" w:type="pct"/>
            <w:tcBorders>
              <w:top w:val="nil"/>
              <w:left w:val="nil"/>
              <w:bottom w:val="single" w:sz="8" w:space="0" w:color="auto"/>
              <w:right w:val="single" w:sz="8" w:space="0" w:color="auto"/>
            </w:tcBorders>
            <w:shd w:val="clear" w:color="auto" w:fill="auto"/>
            <w:vAlign w:val="center"/>
            <w:hideMark/>
          </w:tcPr>
          <w:p w14:paraId="37F41CF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2B0714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9A97EB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w:t>
            </w:r>
          </w:p>
        </w:tc>
      </w:tr>
      <w:tr w:rsidR="00816E97" w:rsidRPr="00A12F11" w14:paraId="655A5A2C"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0C10B43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A(RU)</w:t>
            </w:r>
          </w:p>
        </w:tc>
        <w:tc>
          <w:tcPr>
            <w:tcW w:w="592" w:type="pct"/>
            <w:tcBorders>
              <w:top w:val="nil"/>
              <w:left w:val="nil"/>
              <w:bottom w:val="single" w:sz="8" w:space="0" w:color="auto"/>
              <w:right w:val="single" w:sz="8" w:space="0" w:color="auto"/>
            </w:tcBorders>
            <w:shd w:val="clear" w:color="auto" w:fill="auto"/>
            <w:vAlign w:val="center"/>
            <w:hideMark/>
          </w:tcPr>
          <w:p w14:paraId="77DE04E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1B6F263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Ва2</w:t>
            </w:r>
          </w:p>
        </w:tc>
        <w:tc>
          <w:tcPr>
            <w:tcW w:w="963" w:type="pct"/>
            <w:tcBorders>
              <w:top w:val="nil"/>
              <w:left w:val="nil"/>
              <w:bottom w:val="single" w:sz="8" w:space="0" w:color="auto"/>
              <w:right w:val="single" w:sz="8" w:space="0" w:color="auto"/>
            </w:tcBorders>
            <w:shd w:val="clear" w:color="auto" w:fill="auto"/>
            <w:vAlign w:val="center"/>
            <w:hideMark/>
          </w:tcPr>
          <w:p w14:paraId="12195E5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724564C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B382E6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5C98B5F1"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64241F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BBB+(RU)</w:t>
            </w:r>
          </w:p>
        </w:tc>
        <w:tc>
          <w:tcPr>
            <w:tcW w:w="592" w:type="pct"/>
            <w:tcBorders>
              <w:top w:val="nil"/>
              <w:left w:val="nil"/>
              <w:bottom w:val="single" w:sz="8" w:space="0" w:color="auto"/>
              <w:right w:val="single" w:sz="8" w:space="0" w:color="auto"/>
            </w:tcBorders>
            <w:shd w:val="clear" w:color="auto" w:fill="auto"/>
            <w:vAlign w:val="center"/>
            <w:hideMark/>
          </w:tcPr>
          <w:p w14:paraId="46E8B35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6834BC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Ва3</w:t>
            </w:r>
          </w:p>
        </w:tc>
        <w:tc>
          <w:tcPr>
            <w:tcW w:w="963" w:type="pct"/>
            <w:tcBorders>
              <w:top w:val="nil"/>
              <w:left w:val="nil"/>
              <w:bottom w:val="single" w:sz="8" w:space="0" w:color="auto"/>
              <w:right w:val="single" w:sz="8" w:space="0" w:color="auto"/>
            </w:tcBorders>
            <w:shd w:val="clear" w:color="auto" w:fill="auto"/>
            <w:vAlign w:val="center"/>
            <w:hideMark/>
          </w:tcPr>
          <w:p w14:paraId="4A33B8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vAlign w:val="center"/>
            <w:hideMark/>
          </w:tcPr>
          <w:p w14:paraId="3D2FA54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7E523B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1B74A5A9"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988C5C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BBB(RU), BBB-(RU)</w:t>
            </w:r>
          </w:p>
        </w:tc>
        <w:tc>
          <w:tcPr>
            <w:tcW w:w="592" w:type="pct"/>
            <w:tcBorders>
              <w:top w:val="nil"/>
              <w:left w:val="nil"/>
              <w:bottom w:val="single" w:sz="8" w:space="0" w:color="auto"/>
              <w:right w:val="single" w:sz="8" w:space="0" w:color="auto"/>
            </w:tcBorders>
            <w:shd w:val="clear" w:color="auto" w:fill="auto"/>
            <w:vAlign w:val="center"/>
            <w:hideMark/>
          </w:tcPr>
          <w:p w14:paraId="3F192E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w:t>
            </w:r>
          </w:p>
        </w:tc>
        <w:tc>
          <w:tcPr>
            <w:tcW w:w="963" w:type="pct"/>
            <w:tcBorders>
              <w:top w:val="nil"/>
              <w:left w:val="nil"/>
              <w:bottom w:val="single" w:sz="8" w:space="0" w:color="auto"/>
              <w:right w:val="single" w:sz="8" w:space="0" w:color="auto"/>
            </w:tcBorders>
            <w:shd w:val="clear" w:color="auto" w:fill="auto"/>
            <w:vAlign w:val="center"/>
            <w:hideMark/>
          </w:tcPr>
          <w:p w14:paraId="442731D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В1</w:t>
            </w:r>
          </w:p>
        </w:tc>
        <w:tc>
          <w:tcPr>
            <w:tcW w:w="963" w:type="pct"/>
            <w:tcBorders>
              <w:top w:val="nil"/>
              <w:left w:val="nil"/>
              <w:bottom w:val="single" w:sz="8" w:space="0" w:color="auto"/>
              <w:right w:val="single" w:sz="8" w:space="0" w:color="auto"/>
            </w:tcBorders>
            <w:shd w:val="clear" w:color="auto" w:fill="auto"/>
            <w:vAlign w:val="center"/>
            <w:hideMark/>
          </w:tcPr>
          <w:p w14:paraId="2EAF09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0C19AB6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FD0E1D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w:t>
            </w:r>
          </w:p>
        </w:tc>
      </w:tr>
      <w:tr w:rsidR="00816E97" w:rsidRPr="00A12F11" w14:paraId="52A4A4A0"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50412D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6853C92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 ruBB+</w:t>
            </w:r>
          </w:p>
        </w:tc>
        <w:tc>
          <w:tcPr>
            <w:tcW w:w="963" w:type="pct"/>
            <w:tcBorders>
              <w:top w:val="nil"/>
              <w:left w:val="nil"/>
              <w:bottom w:val="single" w:sz="8" w:space="0" w:color="auto"/>
              <w:right w:val="single" w:sz="8" w:space="0" w:color="auto"/>
            </w:tcBorders>
            <w:shd w:val="clear" w:color="auto" w:fill="auto"/>
            <w:vAlign w:val="center"/>
            <w:hideMark/>
          </w:tcPr>
          <w:p w14:paraId="7157B69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В2</w:t>
            </w:r>
          </w:p>
        </w:tc>
        <w:tc>
          <w:tcPr>
            <w:tcW w:w="963" w:type="pct"/>
            <w:tcBorders>
              <w:top w:val="nil"/>
              <w:left w:val="nil"/>
              <w:bottom w:val="single" w:sz="8" w:space="0" w:color="auto"/>
              <w:right w:val="single" w:sz="8" w:space="0" w:color="auto"/>
            </w:tcBorders>
            <w:shd w:val="clear" w:color="auto" w:fill="auto"/>
            <w:vAlign w:val="center"/>
            <w:hideMark/>
          </w:tcPr>
          <w:p w14:paraId="4D0513F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56DB419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47048C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B603AD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114C800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3ED7F6E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w:t>
            </w:r>
          </w:p>
        </w:tc>
        <w:tc>
          <w:tcPr>
            <w:tcW w:w="963" w:type="pct"/>
            <w:tcBorders>
              <w:top w:val="nil"/>
              <w:left w:val="nil"/>
              <w:bottom w:val="single" w:sz="8" w:space="0" w:color="auto"/>
              <w:right w:val="single" w:sz="8" w:space="0" w:color="auto"/>
            </w:tcBorders>
            <w:shd w:val="clear" w:color="auto" w:fill="auto"/>
            <w:vAlign w:val="center"/>
            <w:hideMark/>
          </w:tcPr>
          <w:p w14:paraId="7E274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B3</w:t>
            </w:r>
          </w:p>
        </w:tc>
        <w:tc>
          <w:tcPr>
            <w:tcW w:w="963" w:type="pct"/>
            <w:tcBorders>
              <w:top w:val="nil"/>
              <w:left w:val="nil"/>
              <w:bottom w:val="single" w:sz="8" w:space="0" w:color="auto"/>
              <w:right w:val="single" w:sz="8" w:space="0" w:color="auto"/>
            </w:tcBorders>
            <w:shd w:val="clear" w:color="auto" w:fill="auto"/>
            <w:vAlign w:val="center"/>
            <w:hideMark/>
          </w:tcPr>
          <w:p w14:paraId="4529CC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962" w:type="pct"/>
            <w:tcBorders>
              <w:top w:val="nil"/>
              <w:left w:val="nil"/>
              <w:bottom w:val="single" w:sz="8" w:space="0" w:color="auto"/>
              <w:right w:val="single" w:sz="8" w:space="0" w:color="auto"/>
            </w:tcBorders>
            <w:shd w:val="clear" w:color="auto" w:fill="auto"/>
            <w:vAlign w:val="center"/>
            <w:hideMark/>
          </w:tcPr>
          <w:p w14:paraId="6F979DD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26905D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2D0667CC" w14:textId="77777777" w:rsidTr="008E7E14">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BE123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7CC8B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w:t>
            </w:r>
          </w:p>
        </w:tc>
      </w:tr>
    </w:tbl>
    <w:p w14:paraId="69C8BF4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55EA2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2A990338"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4B1D4646"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D1DB77B" w14:textId="77777777" w:rsidR="00816E97" w:rsidRPr="00A12F11" w:rsidRDefault="00816E97" w:rsidP="00A12F11">
      <w:pPr>
        <w:numPr>
          <w:ilvl w:val="0"/>
          <w:numId w:val="6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814D18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1B7452C"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 II, III рейтинговых групп</w:t>
      </w:r>
    </w:p>
    <w:p w14:paraId="3EE558A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Кредитный спред для рейтинговых групп I, II, III рассчитывается на каждую дату определения справедливой стоимости долгового инструмента.</w:t>
      </w:r>
    </w:p>
    <w:p w14:paraId="7F86532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5F302B1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4208D393" w14:textId="67A9974D" w:rsidR="00C54998" w:rsidRPr="00A12F11" w:rsidRDefault="00C54998" w:rsidP="00A12F11">
      <w:pPr>
        <w:spacing w:before="240" w:line="276" w:lineRule="auto"/>
        <w:ind w:left="426" w:hanging="426"/>
        <w:jc w:val="both"/>
        <w:rPr>
          <w:rFonts w:ascii="Times New Roman" w:hAnsi="Times New Roman" w:cs="Times New Roman"/>
          <w:sz w:val="24"/>
          <w:szCs w:val="24"/>
        </w:rPr>
      </w:pPr>
    </w:p>
    <w:p w14:paraId="49831CF5"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рейтинг ≥ BBB-)</w:t>
      </w:r>
    </w:p>
    <w:p w14:paraId="45FAB5CD"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RUCBITRBBB</w:t>
      </w:r>
    </w:p>
    <w:p w14:paraId="3E1D484C"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w:t>
      </w:r>
    </w:p>
    <w:p w14:paraId="046B68C0"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https://www.moex.com/ru/index/RUCBITRBBB/archive/</w:t>
      </w:r>
    </w:p>
    <w:p w14:paraId="279E38C3"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BB- ≤ рейтинг &lt; BBB-)</w:t>
      </w:r>
    </w:p>
    <w:p w14:paraId="7BF44E5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w:t>
      </w:r>
    </w:p>
    <w:p w14:paraId="666ED7C4"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w:t>
      </w:r>
    </w:p>
    <w:p w14:paraId="45586AD2"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https://www.moex.com/ru/index/RUCBITRBB/archive</w:t>
      </w:r>
    </w:p>
    <w:p w14:paraId="6C06D45A"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(&gt; 1 года, B- ≤ рейтинг &lt; BB-) </w:t>
      </w:r>
    </w:p>
    <w:p w14:paraId="5D0D6745"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w:t>
      </w:r>
    </w:p>
    <w:p w14:paraId="663FB587"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w:t>
      </w:r>
    </w:p>
    <w:p w14:paraId="3523F8B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https://www.moex.com/ru/index/RUCBITRB/archive/</w:t>
      </w:r>
    </w:p>
    <w:p w14:paraId="4009B4A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F63AC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медианного кредитного спреда для I, II, III рейтинговых групп осуществляется в следующем порядке:</w:t>
      </w:r>
    </w:p>
    <w:p w14:paraId="3DDCA74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w:t>
      </w:r>
    </w:p>
    <w:p w14:paraId="550B0CC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 за каждый из 20 последних торговых дней: </w:t>
      </w:r>
    </w:p>
    <w:p w14:paraId="23F676BA"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e>
          </m:d>
          <m:r>
            <m:rPr>
              <m:sty m:val="p"/>
            </m:rPr>
            <w:rPr>
              <w:rFonts w:ascii="Cambria Math" w:hAnsi="Cambria Math" w:cs="Times New Roman"/>
              <w:sz w:val="24"/>
              <w:szCs w:val="24"/>
            </w:rPr>
            <m:t>×100,                                     (14)</m:t>
          </m:r>
        </m:oMath>
      </m:oMathPara>
    </w:p>
    <w:p w14:paraId="4135932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3F5A9030"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105A5F8D"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RUCBITRBBB, раскрытая Московской биржей;</w:t>
      </w:r>
    </w:p>
    <w:p w14:paraId="76105D17" w14:textId="77777777" w:rsidR="00816E97" w:rsidRPr="00A12F11" w:rsidRDefault="00421381"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RUCBITRBBB раскрытой Московской биржей.</w:t>
      </w:r>
    </w:p>
    <w:p w14:paraId="6CD03663"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 </w:t>
      </w:r>
    </w:p>
    <w:p w14:paraId="0AC357B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медианного значения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03081884"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68A1330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w:t>
      </w:r>
    </w:p>
    <w:p w14:paraId="0B307549"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SРГII за каждый из 20 последних торговых дней: </w:t>
      </w:r>
    </w:p>
    <w:p w14:paraId="5D1029CA"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e>
          </m:d>
          <m:r>
            <m:rPr>
              <m:sty m:val="p"/>
            </m:rPr>
            <w:rPr>
              <w:rFonts w:ascii="Cambria Math" w:hAnsi="Cambria Math" w:cs="Times New Roman"/>
              <w:sz w:val="24"/>
              <w:szCs w:val="24"/>
            </w:rPr>
            <m:t>×100,                                     (15)</m:t>
          </m:r>
        </m:oMath>
      </m:oMathPara>
    </w:p>
    <w:p w14:paraId="50201408" w14:textId="77777777" w:rsidR="00816E97" w:rsidRPr="00A12F11" w:rsidRDefault="00816E97" w:rsidP="00A12F11">
      <w:pPr>
        <w:spacing w:before="240" w:line="276" w:lineRule="auto"/>
        <w:ind w:left="1560" w:hanging="1560"/>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79AD5517"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09A63990"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 раскрытая Московской биржей;</w:t>
      </w:r>
    </w:p>
    <w:p w14:paraId="48FAF37F"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 раскрытой Московской биржей.</w:t>
      </w:r>
    </w:p>
    <w:p w14:paraId="5E5C331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 </w:t>
      </w:r>
    </w:p>
    <w:p w14:paraId="1220DF0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1219226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949A3DB"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III</w:t>
      </w:r>
    </w:p>
    <w:p w14:paraId="491FEB9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Рассчитывается кредитный спред SРГШ за каждый из 20 последних торговых дней:</w:t>
      </w:r>
    </w:p>
    <w:p w14:paraId="689EC4D1"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e>
          </m:d>
          <m:r>
            <m:rPr>
              <m:sty m:val="p"/>
            </m:rPr>
            <w:rPr>
              <w:rFonts w:ascii="Cambria Math" w:hAnsi="Cambria Math" w:cs="Times New Roman"/>
              <w:sz w:val="24"/>
              <w:szCs w:val="24"/>
            </w:rPr>
            <m:t>×100,                                     (16)</m:t>
          </m:r>
        </m:oMath>
      </m:oMathPara>
    </w:p>
    <w:p w14:paraId="2DF17D8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68E089"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667AA85B"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 раскрытая Московской биржей;</w:t>
      </w:r>
    </w:p>
    <w:p w14:paraId="0A999AEE" w14:textId="77777777" w:rsidR="00816E97" w:rsidRPr="00A12F11" w:rsidRDefault="00421381"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 раскрытой Московской биржей.</w:t>
      </w:r>
    </w:p>
    <w:p w14:paraId="41D9573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SРГIII). </w:t>
      </w:r>
    </w:p>
    <w:p w14:paraId="49F34F50" w14:textId="5C3CE839"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270B30BC" w14:textId="77777777" w:rsidR="00D63E51" w:rsidRPr="00A12F11" w:rsidRDefault="00D63E51" w:rsidP="00A12F11">
      <w:pPr>
        <w:pStyle w:val="ac"/>
        <w:spacing w:before="240" w:line="276" w:lineRule="auto"/>
        <w:ind w:left="360"/>
        <w:jc w:val="both"/>
        <w:rPr>
          <w:rFonts w:ascii="Times New Roman" w:hAnsi="Times New Roman" w:cs="Times New Roman"/>
          <w:b/>
          <w:color w:val="FF0000"/>
          <w:sz w:val="24"/>
          <w:szCs w:val="24"/>
        </w:rPr>
      </w:pPr>
    </w:p>
    <w:p w14:paraId="16369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p w14:paraId="4899AEF5"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IV рейтинговой группы</w:t>
      </w:r>
    </w:p>
    <w:p w14:paraId="4AD9BC6D"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рассчитывается на индивидуальной основе для каждого долгового инструмента.</w:t>
      </w:r>
    </w:p>
    <w:p w14:paraId="1E1E90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158BA5AB"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w:t>
      </w:r>
    </w:p>
    <w:p w14:paraId="295F51A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для долгового инструмента признается равным (в порядке убывания приоритета):</w:t>
      </w:r>
    </w:p>
    <w:p w14:paraId="48CB9CC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экспертному значению кредитного спреда, если оно рассчитано на дату определения справедливой стоимости долгового инструмента;</w:t>
      </w:r>
    </w:p>
    <w:p w14:paraId="464956FA"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 рассчитанную на наиболее позднюю дату определения экспертного значения кредитного спреда для данного долгового инструмента;</w:t>
      </w:r>
    </w:p>
    <w:p w14:paraId="069A9DE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t>
      </w:r>
    </w:p>
    <w:p w14:paraId="74A740C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4F6E4C5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5574A610"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77138D93" w14:textId="77777777" w:rsidR="00816E97" w:rsidRPr="00A12F11" w:rsidRDefault="00421381"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(17)</m:t>
          </m:r>
        </m:oMath>
      </m:oMathPara>
    </w:p>
    <w:p w14:paraId="442B317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4815A62E"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1950789"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i-го выпуска долговой ценной бумаги, раскрытая Московской биржей;</w:t>
      </w:r>
    </w:p>
    <w:p w14:paraId="4D4EB78F"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(оферты) i-го выпуска долговой ценной бумаги;</w:t>
      </w:r>
    </w:p>
    <w:p w14:paraId="5FE4C9E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m:t>
        </m:r>
      </m:oMath>
      <w:r w:rsidRPr="00A12F11">
        <w:rPr>
          <w:rFonts w:ascii="Times New Roman" w:hAnsi="Times New Roman" w:cs="Times New Roman"/>
          <w:sz w:val="24"/>
          <w:szCs w:val="24"/>
        </w:rPr>
        <w:tab/>
        <w:t>- идентификатор выпуска долговой ценной бумаги эмитента, отличного от оцениваемого.</w:t>
      </w:r>
    </w:p>
    <w:p w14:paraId="6722B03B"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38CFB74D" w14:textId="77777777" w:rsidR="00816E97" w:rsidRPr="00A12F11" w:rsidRDefault="00816E97" w:rsidP="00A12F11">
      <w:p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13B7E615" w14:textId="77777777" w:rsidR="00816E97" w:rsidRPr="00A12F11" w:rsidRDefault="00421381"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(18)</m:t>
          </m:r>
        </m:oMath>
      </m:oMathPara>
    </w:p>
    <w:p w14:paraId="110276B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6902D95" w14:textId="77777777" w:rsidR="00816E97" w:rsidRPr="00A12F11" w:rsidRDefault="00421381" w:rsidP="00A12F11">
      <w:pPr>
        <w:tabs>
          <w:tab w:val="left" w:pos="1134"/>
        </w:tabs>
        <w:spacing w:before="240" w:line="276" w:lineRule="auto"/>
        <w:ind w:left="1134" w:hanging="992"/>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4317956" w14:textId="77777777" w:rsidR="00816E97" w:rsidRPr="00A12F11" w:rsidRDefault="00421381"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j-го выпуска долговой ценной бумаги, раскрытая Московской биржей;</w:t>
      </w:r>
    </w:p>
    <w:p w14:paraId="7908814D" w14:textId="77777777" w:rsidR="00816E97" w:rsidRPr="00A12F11" w:rsidRDefault="00421381"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 оферты j-го выпуска долговой ценной бумаги;</w:t>
      </w:r>
    </w:p>
    <w:p w14:paraId="5655557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j</m:t>
        </m:r>
      </m:oMath>
      <w:r w:rsidRPr="00A12F11">
        <w:rPr>
          <w:rFonts w:ascii="Times New Roman" w:hAnsi="Times New Roman" w:cs="Times New Roman"/>
          <w:sz w:val="24"/>
          <w:szCs w:val="24"/>
        </w:rPr>
        <w:tab/>
        <w:t>- идентификатор выпуска долговой ценной бумаги, отличного от оцениваемого, с таким же или близким кредитным рейтингом.</w:t>
      </w:r>
    </w:p>
    <w:p w14:paraId="22BD999E" w14:textId="77777777" w:rsidR="00816E97" w:rsidRPr="00A12F11" w:rsidRDefault="00816E97" w:rsidP="00A12F11">
      <w:pPr>
        <w:pStyle w:val="ac"/>
        <w:numPr>
          <w:ilvl w:val="0"/>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5EBB09E1"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4876E184"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13B66A8F"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как медианное значение кредитного спреда, рассчитанного для III рейтинговой группы, увеличенное на величину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w:t>
      </w:r>
    </w:p>
    <w:p w14:paraId="5822AF1D"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Величина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 xml:space="preserve"> ежегодно определяется как разница между средним значением частоты дефолтов</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45A4CA18"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5DE9D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r>
            <w:rPr>
              <w:rFonts w:ascii="Cambria Math" w:hAnsi="Cambria Math" w:cs="Times New Roman"/>
              <w:sz w:val="24"/>
              <w:szCs w:val="24"/>
            </w:rPr>
            <m:t>FD</m:t>
          </m:r>
          <m:r>
            <m:rPr>
              <m:sty m:val="p"/>
            </m:rPr>
            <w:rPr>
              <w:rFonts w:ascii="Cambria Math" w:hAnsi="Cambria Math" w:cs="Times New Roman"/>
              <w:sz w:val="24"/>
              <w:szCs w:val="24"/>
            </w:rPr>
            <m:t>=СРЗНАЧ</m:t>
          </m:r>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w:rPr>
                      <w:rFonts w:ascii="Cambria Math" w:hAnsi="Cambria Math" w:cs="Times New Roman"/>
                      <w:sz w:val="24"/>
                      <w:szCs w:val="24"/>
                    </w:rPr>
                    <m:t>n</m:t>
                  </m:r>
                </m:sub>
                <m:sup>
                  <m:r>
                    <w:rPr>
                      <w:rFonts w:ascii="Cambria Math" w:hAnsi="Cambria Math" w:cs="Times New Roman"/>
                      <w:sz w:val="24"/>
                      <w:szCs w:val="24"/>
                    </w:rPr>
                    <m:t>N</m:t>
                  </m:r>
                </m:sup>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num>
                    <m:den>
                      <m:r>
                        <w:rPr>
                          <w:rFonts w:ascii="Cambria Math" w:hAnsi="Cambria Math" w:cs="Times New Roman"/>
                          <w:sz w:val="24"/>
                          <w:szCs w:val="24"/>
                        </w:rPr>
                        <m:t>IS</m:t>
                      </m:r>
                    </m:den>
                  </m:f>
                </m:e>
              </m:nary>
            </m:e>
          </m:d>
          <m:r>
            <m:rPr>
              <m:sty m:val="p"/>
            </m:rPr>
            <w:rPr>
              <w:rFonts w:ascii="Cambria Math" w:hAnsi="Cambria Math" w:cs="Times New Roman"/>
              <w:sz w:val="24"/>
              <w:szCs w:val="24"/>
            </w:rPr>
            <m:t>,                                                      (19)</m:t>
          </m:r>
        </m:oMath>
      </m:oMathPara>
    </w:p>
    <w:p w14:paraId="6FDF745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A7FD33F" w14:textId="77777777" w:rsidR="00816E97" w:rsidRPr="00A12F11" w:rsidRDefault="00421381" w:rsidP="00A12F11">
      <w:pPr>
        <w:spacing w:before="240" w:line="276" w:lineRule="auto"/>
        <w:ind w:left="426" w:hanging="426"/>
        <w:jc w:val="both"/>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oMath>
      <w:r w:rsidR="00816E97"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44D8126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IS</m:t>
        </m:r>
      </m:oMath>
      <w:r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30468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порядковый номер периода (года) наблюдения, принадлежащий множеству N;</w:t>
      </w:r>
    </w:p>
    <w:p w14:paraId="1C8A023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количество периодов наблюдения, лет.</w:t>
      </w:r>
    </w:p>
    <w:p w14:paraId="7584DCA3"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Результат расчета FD округляется по правилам математического округления до целого значения.</w:t>
      </w:r>
    </w:p>
    <w:p w14:paraId="05114A6F"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0361497D"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диапазона кредитных спредов для рейтинговых групп</w:t>
      </w:r>
    </w:p>
    <w:p w14:paraId="464CE6A0"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Выбор диапазона диапазонов кредитных спредов для рейтинговых групп I, II, III основывается на следующем:</w:t>
      </w:r>
    </w:p>
    <w:p w14:paraId="0F385408"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кредитного спреда определяется в порядке, предусмотренном настоящим Регламентом;</w:t>
      </w:r>
    </w:p>
    <w:p w14:paraId="7EFC6A74"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348CE325"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1BF2D7CA"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III-ей рейтинговой группы устанавливается равной медианному значению II-ой рейтинговой группы, так как доходность облигаций III-ей рейтинговой группы не должна быть ниже средней доходности облигаций II-ой рейтинговой группы;</w:t>
      </w:r>
    </w:p>
    <w:p w14:paraId="7D5BD7F6" w14:textId="15EEB390" w:rsidR="00816E97" w:rsidRPr="00BD2EB5" w:rsidRDefault="00816E97" w:rsidP="00401846">
      <w:pPr>
        <w:numPr>
          <w:ilvl w:val="0"/>
          <w:numId w:val="61"/>
        </w:numPr>
        <w:spacing w:before="240" w:line="276" w:lineRule="auto"/>
        <w:ind w:left="426" w:hanging="426"/>
        <w:jc w:val="both"/>
        <w:rPr>
          <w:rFonts w:ascii="Times New Roman" w:hAnsi="Times New Roman" w:cs="Times New Roman"/>
          <w:sz w:val="24"/>
          <w:szCs w:val="24"/>
        </w:rPr>
      </w:pPr>
      <w:r w:rsidRPr="00BD2EB5">
        <w:rPr>
          <w:rFonts w:ascii="Times New Roman" w:hAnsi="Times New Roman" w:cs="Times New Roman"/>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0788A358" w14:textId="016B6592"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(минимального значения кредитного спреда - Min(α), максимального значения кредитного спреда - Max (β)) выполняется для I, II, III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1FEF1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Итоговые диапазоны кредитных спредов приведены в Таблице 2.</w:t>
      </w:r>
    </w:p>
    <w:p w14:paraId="321002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для IV рейтинговой группы не выполняется.</w:t>
      </w:r>
    </w:p>
    <w:p w14:paraId="2B29EFE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Таблица 2. Диапазон кредитных спредов рейтинговых групп.</w:t>
      </w:r>
    </w:p>
    <w:tbl>
      <w:tblPr>
        <w:tblStyle w:val="af3"/>
        <w:tblW w:w="0" w:type="auto"/>
        <w:tblLook w:val="04A0" w:firstRow="1" w:lastRow="0" w:firstColumn="1" w:lastColumn="0" w:noHBand="0" w:noVBand="1"/>
      </w:tblPr>
      <w:tblGrid>
        <w:gridCol w:w="3369"/>
        <w:gridCol w:w="2835"/>
        <w:gridCol w:w="3367"/>
      </w:tblGrid>
      <w:tr w:rsidR="00816E97" w:rsidRPr="00A12F11" w14:paraId="5412B74E" w14:textId="77777777" w:rsidTr="008E7E14">
        <w:trPr>
          <w:trHeight w:val="284"/>
        </w:trPr>
        <w:tc>
          <w:tcPr>
            <w:tcW w:w="9571" w:type="dxa"/>
            <w:gridSpan w:val="3"/>
            <w:shd w:val="clear" w:color="auto" w:fill="BFBFBF" w:themeFill="background1" w:themeFillShade="BF"/>
          </w:tcPr>
          <w:p w14:paraId="02E631D7"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Диапазон кредитных спредов</w:t>
            </w:r>
          </w:p>
        </w:tc>
      </w:tr>
      <w:tr w:rsidR="00816E97" w:rsidRPr="00A12F11" w14:paraId="6EC68272" w14:textId="77777777" w:rsidTr="008E7E14">
        <w:trPr>
          <w:trHeight w:val="284"/>
        </w:trPr>
        <w:tc>
          <w:tcPr>
            <w:tcW w:w="3369" w:type="dxa"/>
          </w:tcPr>
          <w:p w14:paraId="6D0F200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Min (α)</w:t>
            </w:r>
          </w:p>
        </w:tc>
        <w:tc>
          <w:tcPr>
            <w:tcW w:w="2835" w:type="dxa"/>
          </w:tcPr>
          <w:p w14:paraId="784B89B9"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Медиана</w:t>
            </w:r>
          </w:p>
        </w:tc>
        <w:tc>
          <w:tcPr>
            <w:tcW w:w="3367" w:type="dxa"/>
          </w:tcPr>
          <w:p w14:paraId="04EF637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Max (β)</w:t>
            </w:r>
          </w:p>
        </w:tc>
      </w:tr>
      <w:tr w:rsidR="00816E97" w:rsidRPr="00A12F11" w14:paraId="711D5CB1" w14:textId="77777777" w:rsidTr="008E7E14">
        <w:trPr>
          <w:trHeight w:val="284"/>
        </w:trPr>
        <w:tc>
          <w:tcPr>
            <w:tcW w:w="9571" w:type="dxa"/>
            <w:gridSpan w:val="3"/>
          </w:tcPr>
          <w:p w14:paraId="5087498C"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w:t>
            </w:r>
          </w:p>
        </w:tc>
      </w:tr>
      <w:tr w:rsidR="00816E97" w:rsidRPr="00A12F11" w14:paraId="05F00988" w14:textId="77777777" w:rsidTr="008E7E14">
        <w:trPr>
          <w:trHeight w:val="284"/>
        </w:trPr>
        <w:tc>
          <w:tcPr>
            <w:tcW w:w="3369" w:type="dxa"/>
          </w:tcPr>
          <w:p w14:paraId="0E79F488"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0 + премия</w:t>
            </w:r>
          </w:p>
        </w:tc>
        <w:tc>
          <w:tcPr>
            <w:tcW w:w="2835" w:type="dxa"/>
          </w:tcPr>
          <w:p w14:paraId="77A6AD31"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504F1BF3"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r>
      <w:tr w:rsidR="00816E97" w:rsidRPr="00A12F11" w14:paraId="739DC36C" w14:textId="77777777" w:rsidTr="008E7E14">
        <w:trPr>
          <w:trHeight w:val="284"/>
        </w:trPr>
        <w:tc>
          <w:tcPr>
            <w:tcW w:w="9571" w:type="dxa"/>
            <w:gridSpan w:val="3"/>
          </w:tcPr>
          <w:p w14:paraId="64AA48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w:t>
            </w:r>
          </w:p>
        </w:tc>
      </w:tr>
      <w:tr w:rsidR="00816E97" w:rsidRPr="00A12F11" w14:paraId="1C033268" w14:textId="77777777" w:rsidTr="008E7E14">
        <w:trPr>
          <w:trHeight w:val="284"/>
        </w:trPr>
        <w:tc>
          <w:tcPr>
            <w:tcW w:w="3369" w:type="dxa"/>
          </w:tcPr>
          <w:p w14:paraId="065EF13C"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03594CF6"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13EA3BC2"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r w:rsidR="00816E97" w:rsidRPr="00A12F11" w14:paraId="5323342B" w14:textId="77777777" w:rsidTr="008E7E14">
        <w:trPr>
          <w:trHeight w:val="284"/>
        </w:trPr>
        <w:tc>
          <w:tcPr>
            <w:tcW w:w="9571" w:type="dxa"/>
            <w:gridSpan w:val="3"/>
          </w:tcPr>
          <w:p w14:paraId="41B18AB6"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III</w:t>
            </w:r>
          </w:p>
        </w:tc>
      </w:tr>
      <w:tr w:rsidR="00816E97" w:rsidRPr="00A12F11" w14:paraId="1D2BEED3" w14:textId="77777777" w:rsidTr="008E7E14">
        <w:trPr>
          <w:trHeight w:val="284"/>
        </w:trPr>
        <w:tc>
          <w:tcPr>
            <w:tcW w:w="3369" w:type="dxa"/>
          </w:tcPr>
          <w:p w14:paraId="08953D7A"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60641B5A" w14:textId="77777777" w:rsidR="00816E97" w:rsidRPr="00A12F11" w:rsidRDefault="00421381"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7B7A481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bl>
    <w:p w14:paraId="3975DA1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0921CF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2138AD25" w14:textId="4C3CF32B" w:rsidR="00133C7E"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4FE1F79" w14:textId="48C6DF7C" w:rsidR="005D7724" w:rsidRPr="00A12F11" w:rsidRDefault="005D7724" w:rsidP="00A12F11">
      <w:pPr>
        <w:spacing w:before="240" w:line="276" w:lineRule="auto"/>
        <w:ind w:left="426" w:hanging="426"/>
        <w:jc w:val="both"/>
        <w:rPr>
          <w:rFonts w:ascii="Times New Roman" w:hAnsi="Times New Roman" w:cs="Times New Roman"/>
          <w:sz w:val="24"/>
          <w:szCs w:val="24"/>
        </w:rPr>
      </w:pPr>
    </w:p>
    <w:p w14:paraId="4B5A825E" w14:textId="77777777" w:rsidR="0093343E" w:rsidRPr="00A12F11" w:rsidRDefault="0093343E" w:rsidP="00A12F11">
      <w:pPr>
        <w:spacing w:before="240" w:line="276" w:lineRule="auto"/>
        <w:ind w:left="426" w:hanging="426"/>
        <w:rPr>
          <w:rFonts w:ascii="Times New Roman" w:hAnsi="Times New Roman" w:cs="Times New Roman"/>
          <w:b/>
          <w:color w:val="FF0000"/>
          <w:sz w:val="24"/>
          <w:szCs w:val="24"/>
        </w:rPr>
      </w:pPr>
    </w:p>
    <w:sectPr w:rsidR="0093343E" w:rsidRPr="00A12F11" w:rsidSect="00573A9D">
      <w:headerReference w:type="default" r:id="rId72"/>
      <w:footerReference w:type="default" r:id="rId73"/>
      <w:pgSz w:w="11906" w:h="16838"/>
      <w:pgMar w:top="907" w:right="849" w:bottom="680"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5339" w14:textId="77777777" w:rsidR="00421381" w:rsidRDefault="00421381" w:rsidP="001654B1">
      <w:pPr>
        <w:spacing w:after="0" w:line="240" w:lineRule="auto"/>
      </w:pPr>
      <w:r>
        <w:separator/>
      </w:r>
    </w:p>
  </w:endnote>
  <w:endnote w:type="continuationSeparator" w:id="0">
    <w:p w14:paraId="1A8A05FD" w14:textId="77777777" w:rsidR="00421381" w:rsidRDefault="00421381" w:rsidP="0016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ragmaticaCTT">
    <w:charset w:val="CC"/>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5591"/>
      <w:docPartObj>
        <w:docPartGallery w:val="Page Numbers (Bottom of Page)"/>
        <w:docPartUnique/>
      </w:docPartObj>
    </w:sdtPr>
    <w:sdtEndPr/>
    <w:sdtContent>
      <w:p w14:paraId="3B5FFDAC" w14:textId="7C60583C" w:rsidR="00401846" w:rsidRDefault="00401846">
        <w:pPr>
          <w:pStyle w:val="a8"/>
          <w:jc w:val="right"/>
        </w:pPr>
        <w:r>
          <w:fldChar w:fldCharType="begin"/>
        </w:r>
        <w:r>
          <w:instrText>PAGE   \* MERGEFORMAT</w:instrText>
        </w:r>
        <w:r>
          <w:fldChar w:fldCharType="separate"/>
        </w:r>
        <w:r w:rsidR="004420FA">
          <w:rPr>
            <w:noProof/>
          </w:rPr>
          <w:t>87</w:t>
        </w:r>
        <w:r>
          <w:fldChar w:fldCharType="end"/>
        </w:r>
      </w:p>
    </w:sdtContent>
  </w:sdt>
  <w:p w14:paraId="451D70E8" w14:textId="77777777" w:rsidR="00401846" w:rsidRDefault="004018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7B58" w14:textId="77777777" w:rsidR="00421381" w:rsidRDefault="00421381" w:rsidP="001654B1">
      <w:pPr>
        <w:spacing w:after="0" w:line="240" w:lineRule="auto"/>
      </w:pPr>
      <w:r>
        <w:separator/>
      </w:r>
    </w:p>
  </w:footnote>
  <w:footnote w:type="continuationSeparator" w:id="0">
    <w:p w14:paraId="0E8BADE5" w14:textId="77777777" w:rsidR="00421381" w:rsidRDefault="00421381" w:rsidP="001654B1">
      <w:pPr>
        <w:spacing w:after="0" w:line="240" w:lineRule="auto"/>
      </w:pPr>
      <w:r>
        <w:continuationSeparator/>
      </w:r>
    </w:p>
  </w:footnote>
  <w:footnote w:id="1">
    <w:p w14:paraId="31B54A87" w14:textId="77777777" w:rsidR="00401846" w:rsidRDefault="00401846" w:rsidP="00AD65EC">
      <w:pPr>
        <w:pStyle w:val="aff5"/>
      </w:pPr>
      <w:r>
        <w:rPr>
          <w:rStyle w:val="aff7"/>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footnote>
  <w:footnote w:id="2">
    <w:p w14:paraId="101C24D1" w14:textId="77777777" w:rsidR="00401846" w:rsidRDefault="00401846" w:rsidP="001D77FA">
      <w:pPr>
        <w:pStyle w:val="aff5"/>
      </w:pPr>
      <w:r>
        <w:rPr>
          <w:rStyle w:val="aff7"/>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3">
    <w:p w14:paraId="22BD2B16"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1"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4">
    <w:p w14:paraId="4E2AB792"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2"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5">
    <w:p w14:paraId="57D127F1" w14:textId="77777777" w:rsidR="00401846" w:rsidRDefault="00401846" w:rsidP="001D77FA">
      <w:pPr>
        <w:pStyle w:val="aff5"/>
      </w:pPr>
      <w:r>
        <w:rPr>
          <w:rStyle w:val="aff7"/>
        </w:rPr>
        <w:footnoteRef/>
      </w:r>
      <w:r>
        <w:t xml:space="preserve"> </w:t>
      </w:r>
      <w:hyperlink r:id="rId3" w:history="1">
        <w:r w:rsidRPr="00CD3956">
          <w:rPr>
            <w:rStyle w:val="aff4"/>
          </w:rPr>
          <w:t>https://www.treasury.gov/resource-center/data-chart-center/interest-rates/pages/TextView.aspx?data=yield</w:t>
        </w:r>
      </w:hyperlink>
    </w:p>
  </w:footnote>
  <w:footnote w:id="6">
    <w:p w14:paraId="0DF62278" w14:textId="77777777" w:rsidR="00401846" w:rsidRDefault="00401846" w:rsidP="001D77FA">
      <w:pPr>
        <w:pStyle w:val="aff5"/>
      </w:pPr>
      <w:r>
        <w:rPr>
          <w:rStyle w:val="aff7"/>
        </w:rPr>
        <w:footnoteRef/>
      </w:r>
      <w:r>
        <w:t xml:space="preserve"> </w:t>
      </w:r>
      <w:hyperlink r:id="rId4" w:history="1">
        <w:r w:rsidRPr="00CD3956">
          <w:rPr>
            <w:rStyle w:val="aff4"/>
          </w:rPr>
          <w:t>https://www.ecb.europa.eu/stats/financial_markets_and_interest_rates/euro_area_yield_curves/html/index.en.html</w:t>
        </w:r>
      </w:hyperlink>
    </w:p>
  </w:footnote>
  <w:footnote w:id="7">
    <w:p w14:paraId="369507DF" w14:textId="77777777" w:rsidR="00401846" w:rsidRPr="00F052EE" w:rsidRDefault="00401846" w:rsidP="001D77FA">
      <w:pPr>
        <w:pStyle w:val="aff5"/>
        <w:rPr>
          <w:sz w:val="18"/>
        </w:rPr>
      </w:pPr>
      <w:r w:rsidRPr="00F052EE">
        <w:rPr>
          <w:rStyle w:val="aff7"/>
          <w:sz w:val="18"/>
        </w:rPr>
        <w:footnoteRef/>
      </w:r>
      <w:r w:rsidRPr="00F052EE">
        <w:rPr>
          <w:sz w:val="18"/>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14:paraId="0E5BCB49" w14:textId="77777777" w:rsidR="00401846" w:rsidRPr="00F34832" w:rsidRDefault="00401846" w:rsidP="001D77FA">
      <w:pPr>
        <w:pStyle w:val="aff5"/>
      </w:pPr>
      <w:r w:rsidRPr="00F052EE">
        <w:rPr>
          <w:rStyle w:val="aff7"/>
          <w:sz w:val="18"/>
        </w:rPr>
        <w:footnoteRef/>
      </w:r>
      <w:r w:rsidRPr="00F052EE">
        <w:rPr>
          <w:sz w:val="18"/>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14:paraId="729257C1" w14:textId="77777777" w:rsidR="00401846" w:rsidRDefault="00401846" w:rsidP="001D77FA">
      <w:pPr>
        <w:pStyle w:val="aff5"/>
      </w:pPr>
      <w:r w:rsidRPr="00D4705A">
        <w:rPr>
          <w:rStyle w:val="aff7"/>
          <w:sz w:val="18"/>
        </w:rPr>
        <w:footnoteRef/>
      </w:r>
      <w:r w:rsidRPr="00D4705A">
        <w:rPr>
          <w:sz w:val="18"/>
        </w:rPr>
        <w:t xml:space="preserve"> Например, исполнительное производство на сумму более чем половина месячного дохода физлица.</w:t>
      </w:r>
    </w:p>
  </w:footnote>
  <w:footnote w:id="10">
    <w:p w14:paraId="733D75B4" w14:textId="77777777" w:rsidR="00401846" w:rsidRPr="00E21802" w:rsidRDefault="00401846" w:rsidP="001D77FA">
      <w:pPr>
        <w:pStyle w:val="aff5"/>
        <w:rPr>
          <w:sz w:val="16"/>
          <w:szCs w:val="16"/>
        </w:rPr>
      </w:pPr>
      <w:r>
        <w:rPr>
          <w:rStyle w:val="aff7"/>
        </w:rPr>
        <w:footnoteRef/>
      </w:r>
      <w:r>
        <w:t xml:space="preserve"> </w:t>
      </w:r>
      <w:r w:rsidRPr="00E21802">
        <w:rPr>
          <w:sz w:val="16"/>
          <w:szCs w:val="16"/>
        </w:rPr>
        <w:t xml:space="preserve">Кроме случаев </w:t>
      </w:r>
    </w:p>
    <w:p w14:paraId="17D97E7E" w14:textId="77777777" w:rsidR="00401846" w:rsidRPr="00E21802" w:rsidRDefault="00401846" w:rsidP="00E03057">
      <w:pPr>
        <w:pStyle w:val="aff5"/>
        <w:numPr>
          <w:ilvl w:val="0"/>
          <w:numId w:val="18"/>
        </w:numPr>
        <w:jc w:val="both"/>
        <w:rPr>
          <w:sz w:val="16"/>
          <w:szCs w:val="16"/>
        </w:rPr>
      </w:pPr>
      <w:r w:rsidRPr="00E21802">
        <w:rPr>
          <w:sz w:val="16"/>
          <w:szCs w:val="16"/>
        </w:rPr>
        <w:t xml:space="preserve">наличия рыночных котировок по торгуемой задолженности контрагента/эмитента; </w:t>
      </w:r>
    </w:p>
    <w:p w14:paraId="0DD6643E" w14:textId="77777777" w:rsidR="00401846" w:rsidRPr="00E21802" w:rsidRDefault="00401846" w:rsidP="00E03057">
      <w:pPr>
        <w:pStyle w:val="aff5"/>
        <w:numPr>
          <w:ilvl w:val="0"/>
          <w:numId w:val="18"/>
        </w:numPr>
        <w:jc w:val="both"/>
        <w:rPr>
          <w:sz w:val="16"/>
          <w:szCs w:val="16"/>
        </w:rPr>
      </w:pPr>
      <w:r w:rsidRPr="00E21802">
        <w:rPr>
          <w:sz w:val="16"/>
          <w:szCs w:val="16"/>
        </w:rPr>
        <w:t>оспариваемой задолженности по пеням и штрафам – до момента получения исполнительного листа.</w:t>
      </w:r>
    </w:p>
  </w:footnote>
  <w:footnote w:id="11">
    <w:p w14:paraId="74D06866"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Спрэд для простоты может измеряться как разница между доходностью облигации и </w:t>
      </w:r>
      <w:r w:rsidRPr="00E21802">
        <w:rPr>
          <w:sz w:val="16"/>
          <w:szCs w:val="16"/>
          <w:lang w:val="en-US"/>
        </w:rPr>
        <w:t>G</w:t>
      </w:r>
      <w:r w:rsidRPr="00E21802">
        <w:rPr>
          <w:sz w:val="16"/>
          <w:szCs w:val="16"/>
        </w:rPr>
        <w:t>-кривой на срок, равный модифицированной дюрации облигации.</w:t>
      </w:r>
    </w:p>
  </w:footnote>
  <w:footnote w:id="12">
    <w:p w14:paraId="7A4215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3">
    <w:p w14:paraId="542C9C42" w14:textId="77777777" w:rsidR="00401846" w:rsidRPr="004A23A3" w:rsidRDefault="00401846" w:rsidP="001D77FA">
      <w:pPr>
        <w:pStyle w:val="aff5"/>
        <w:rPr>
          <w:sz w:val="18"/>
        </w:rPr>
      </w:pPr>
      <w:r w:rsidRPr="004A23A3">
        <w:rPr>
          <w:rStyle w:val="aff7"/>
          <w:sz w:val="18"/>
        </w:rPr>
        <w:footnoteRef/>
      </w:r>
      <w:r w:rsidRPr="004A23A3">
        <w:rPr>
          <w:sz w:val="18"/>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4">
    <w:p w14:paraId="4E73622C" w14:textId="77777777" w:rsidR="00401846" w:rsidRDefault="00401846" w:rsidP="001D77FA">
      <w:pPr>
        <w:pStyle w:val="aff5"/>
      </w:pPr>
      <w:r w:rsidRPr="004A23A3">
        <w:rPr>
          <w:rStyle w:val="aff7"/>
          <w:sz w:val="18"/>
        </w:rPr>
        <w:footnoteRef/>
      </w:r>
      <w:r w:rsidRPr="004A23A3">
        <w:rPr>
          <w:sz w:val="18"/>
        </w:rPr>
        <w:t xml:space="preserve"> Данный срок используется только при наличии сообщений о выплате дивидендов эмитентом.</w:t>
      </w:r>
    </w:p>
  </w:footnote>
  <w:footnote w:id="15">
    <w:p w14:paraId="3B8A15CA" w14:textId="77777777" w:rsidR="00401846" w:rsidRDefault="00401846" w:rsidP="001D77FA">
      <w:pPr>
        <w:pStyle w:val="aff5"/>
      </w:pPr>
      <w:r w:rsidRPr="00F052EE">
        <w:rPr>
          <w:rStyle w:val="aff7"/>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6">
    <w:p w14:paraId="3B72BE2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https://ofd.nalog.ru/</w:t>
      </w:r>
    </w:p>
  </w:footnote>
  <w:footnote w:id="17">
    <w:p w14:paraId="3BF4A0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32AAF9B1"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целей расчета по формуле 3 используется </w:t>
      </w:r>
      <w:r w:rsidRPr="00E21802">
        <w:rPr>
          <w:sz w:val="16"/>
          <w:szCs w:val="16"/>
          <w:lang w:val="en-US"/>
        </w:rPr>
        <w:t>EXP</w:t>
      </w:r>
      <w:r w:rsidRPr="00E21802">
        <w:rPr>
          <w:sz w:val="16"/>
          <w:szCs w:val="16"/>
        </w:rPr>
        <w:t>(1)</w:t>
      </w:r>
    </w:p>
  </w:footnote>
  <w:footnote w:id="19">
    <w:p w14:paraId="6439BF09"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Исключение составляет задолженность, обесценение по которой рассчитывалось ранее с помощью данных по </w:t>
      </w:r>
      <w:r w:rsidRPr="00E21802">
        <w:rPr>
          <w:sz w:val="16"/>
          <w:szCs w:val="16"/>
          <w:lang w:val="en-US"/>
        </w:rPr>
        <w:t>Cost</w:t>
      </w:r>
      <w:r w:rsidRPr="00E21802">
        <w:rPr>
          <w:sz w:val="16"/>
          <w:szCs w:val="16"/>
        </w:rPr>
        <w:t xml:space="preserve"> </w:t>
      </w:r>
      <w:r w:rsidRPr="00E21802">
        <w:rPr>
          <w:sz w:val="16"/>
          <w:szCs w:val="16"/>
          <w:lang w:val="en-US"/>
        </w:rPr>
        <w:t>of</w:t>
      </w:r>
      <w:r w:rsidRPr="00E21802">
        <w:rPr>
          <w:sz w:val="16"/>
          <w:szCs w:val="16"/>
        </w:rPr>
        <w:t xml:space="preserve"> </w:t>
      </w:r>
      <w:r w:rsidRPr="00E21802">
        <w:rPr>
          <w:sz w:val="16"/>
          <w:szCs w:val="16"/>
          <w:lang w:val="en-US"/>
        </w:rPr>
        <w:t>Risk</w:t>
      </w:r>
      <w:r w:rsidRPr="00E21802">
        <w:rPr>
          <w:sz w:val="16"/>
          <w:szCs w:val="16"/>
        </w:rPr>
        <w:t xml:space="preserve"> по портфелям банков. Порядок учета обесценения для такой задолженности установлен в п. 4.3.2.3.</w:t>
      </w:r>
    </w:p>
  </w:footnote>
  <w:footnote w:id="20">
    <w:p w14:paraId="16629DE7" w14:textId="77777777" w:rsidR="00401846" w:rsidRPr="00DB6FD1" w:rsidRDefault="00401846" w:rsidP="001D77FA">
      <w:pPr>
        <w:pStyle w:val="aff5"/>
        <w:rPr>
          <w:sz w:val="18"/>
        </w:rPr>
      </w:pPr>
      <w:r w:rsidRPr="00DB6FD1">
        <w:rPr>
          <w:rStyle w:val="aff7"/>
          <w:sz w:val="18"/>
        </w:rPr>
        <w:footnoteRef/>
      </w:r>
      <w:r w:rsidRPr="00DB6FD1">
        <w:rPr>
          <w:sz w:val="18"/>
        </w:rPr>
        <w:t xml:space="preserve"> Если в публикуемых материалах рейтинговых агентств используется показатель </w:t>
      </w:r>
      <w:r w:rsidRPr="00DB6FD1">
        <w:rPr>
          <w:sz w:val="18"/>
          <w:lang w:val="en-US"/>
        </w:rPr>
        <w:t>Recovery</w:t>
      </w:r>
      <w:r w:rsidRPr="00DB6FD1">
        <w:rPr>
          <w:sz w:val="18"/>
        </w:rPr>
        <w:t xml:space="preserve"> </w:t>
      </w:r>
      <w:r w:rsidRPr="00DB6FD1">
        <w:rPr>
          <w:sz w:val="18"/>
          <w:lang w:val="en-US"/>
        </w:rPr>
        <w:t>Rate</w:t>
      </w:r>
      <w:r w:rsidRPr="00DB6FD1">
        <w:rPr>
          <w:sz w:val="18"/>
        </w:rPr>
        <w:t xml:space="preserve"> (</w:t>
      </w:r>
      <w:r w:rsidRPr="00DB6FD1">
        <w:rPr>
          <w:sz w:val="18"/>
          <w:lang w:val="en-US"/>
        </w:rPr>
        <w:t>RR</w:t>
      </w:r>
      <w:r w:rsidRPr="00DB6FD1">
        <w:rPr>
          <w:sz w:val="18"/>
        </w:rPr>
        <w:t>), то Потери при дефолте (LGD) определяются следующим образом:</w:t>
      </w:r>
    </w:p>
    <w:p w14:paraId="60507464" w14:textId="77777777" w:rsidR="00401846" w:rsidRPr="00DB6FD1" w:rsidRDefault="00401846" w:rsidP="001D77FA">
      <w:pPr>
        <w:pStyle w:val="aff5"/>
        <w:rPr>
          <w:sz w:val="18"/>
        </w:rPr>
      </w:pPr>
      <w:r w:rsidRPr="00DB6FD1">
        <w:rPr>
          <w:sz w:val="18"/>
        </w:rPr>
        <w:t>LGD=1-RR,</w:t>
      </w:r>
    </w:p>
    <w:p w14:paraId="098E197E" w14:textId="77777777" w:rsidR="00401846" w:rsidRPr="00DB6FD1" w:rsidRDefault="00401846" w:rsidP="001D77FA">
      <w:pPr>
        <w:pStyle w:val="aff5"/>
        <w:rPr>
          <w:sz w:val="18"/>
        </w:rPr>
      </w:pPr>
      <w:r w:rsidRPr="00DB6FD1">
        <w:rPr>
          <w:sz w:val="18"/>
        </w:rPr>
        <w:t>где:</w:t>
      </w:r>
    </w:p>
    <w:p w14:paraId="2B749F3C" w14:textId="77777777" w:rsidR="00401846" w:rsidRDefault="00401846" w:rsidP="001D77FA">
      <w:pPr>
        <w:pStyle w:val="aff5"/>
      </w:pPr>
      <w:r w:rsidRPr="00DB6FD1">
        <w:rPr>
          <w:sz w:val="18"/>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1">
    <w:p w14:paraId="340D9DEF"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22">
    <w:p w14:paraId="0970AB33" w14:textId="77777777" w:rsidR="00401846" w:rsidRPr="003D51AC" w:rsidRDefault="00401846" w:rsidP="001D77FA">
      <w:pPr>
        <w:pStyle w:val="aff5"/>
        <w:rPr>
          <w:sz w:val="16"/>
          <w:szCs w:val="16"/>
        </w:rPr>
      </w:pPr>
      <w:r w:rsidRPr="003D51AC">
        <w:rPr>
          <w:rStyle w:val="aff7"/>
          <w:sz w:val="16"/>
          <w:szCs w:val="16"/>
        </w:rPr>
        <w:footnoteRef/>
      </w:r>
      <w:r w:rsidRPr="003D51AC">
        <w:rPr>
          <w:sz w:val="16"/>
          <w:szCs w:val="16"/>
        </w:rPr>
        <w:t xml:space="preserve"> Например, гостиницы, хостелы и т.п.</w:t>
      </w:r>
    </w:p>
  </w:footnote>
  <w:footnote w:id="23">
    <w:p w14:paraId="6ADF691B" w14:textId="77777777" w:rsidR="00680C65" w:rsidRPr="00680C65" w:rsidRDefault="00401846" w:rsidP="00680C65">
      <w:pPr>
        <w:pStyle w:val="ac"/>
        <w:spacing w:line="360" w:lineRule="auto"/>
        <w:ind w:left="0" w:firstLine="709"/>
        <w:jc w:val="both"/>
        <w:rPr>
          <w:rFonts w:ascii="Verdana" w:hAnsi="Verdana"/>
          <w:sz w:val="14"/>
          <w:szCs w:val="14"/>
        </w:rPr>
      </w:pPr>
      <w:r w:rsidRPr="003D51AC">
        <w:rPr>
          <w:rStyle w:val="aff7"/>
          <w:sz w:val="16"/>
          <w:szCs w:val="16"/>
        </w:rPr>
        <w:footnoteRef/>
      </w:r>
      <w:r w:rsidRPr="003D51AC">
        <w:rPr>
          <w:sz w:val="16"/>
          <w:szCs w:val="16"/>
        </w:rPr>
        <w:t xml:space="preserve"> Расчеты представлены на основании данных, взятых из годовой консолидированной финансовой отчетности МСФО за - год, аналогично осуществляются расчеты на последующие годы</w:t>
      </w:r>
      <w:r w:rsidR="00680C65">
        <w:rPr>
          <w:sz w:val="16"/>
          <w:szCs w:val="16"/>
        </w:rPr>
        <w:t xml:space="preserve"> </w:t>
      </w:r>
      <w:r w:rsidR="00680C65" w:rsidRPr="00680C65">
        <w:rPr>
          <w:rFonts w:ascii="Verdana" w:hAnsi="Verdana"/>
          <w:sz w:val="14"/>
          <w:szCs w:val="14"/>
        </w:rPr>
        <w:t>(</w:t>
      </w:r>
      <w:hyperlink r:id="rId5" w:history="1">
        <w:r w:rsidR="00680C65" w:rsidRPr="00680C65">
          <w:rPr>
            <w:rStyle w:val="aff4"/>
            <w:rFonts w:ascii="Verdana" w:hAnsi="Verdana"/>
            <w:sz w:val="14"/>
            <w:szCs w:val="14"/>
            <w:lang w:val="en-US"/>
          </w:rPr>
          <w:t>https</w:t>
        </w:r>
        <w:r w:rsidR="00680C65" w:rsidRPr="00680C65">
          <w:rPr>
            <w:rStyle w:val="aff4"/>
            <w:rFonts w:ascii="Verdana" w:hAnsi="Verdana"/>
            <w:sz w:val="14"/>
            <w:szCs w:val="14"/>
          </w:rPr>
          <w:t>://</w:t>
        </w:r>
        <w:r w:rsidR="00680C65" w:rsidRPr="00680C65">
          <w:rPr>
            <w:rStyle w:val="aff4"/>
            <w:rFonts w:ascii="Verdana" w:hAnsi="Verdana"/>
            <w:sz w:val="14"/>
            <w:szCs w:val="14"/>
            <w:lang w:val="en-US"/>
          </w:rPr>
          <w:t>www</w:t>
        </w:r>
        <w:r w:rsidR="00680C65" w:rsidRPr="00680C65">
          <w:rPr>
            <w:rStyle w:val="aff4"/>
            <w:rFonts w:ascii="Verdana" w:hAnsi="Verdana"/>
            <w:sz w:val="14"/>
            <w:szCs w:val="14"/>
          </w:rPr>
          <w:t>.</w:t>
        </w:r>
        <w:r w:rsidR="00680C65" w:rsidRPr="00680C65">
          <w:rPr>
            <w:rStyle w:val="aff4"/>
            <w:rFonts w:ascii="Verdana" w:hAnsi="Verdana"/>
            <w:sz w:val="14"/>
            <w:szCs w:val="14"/>
            <w:lang w:val="en-US"/>
          </w:rPr>
          <w:t>sberbank</w:t>
        </w:r>
        <w:r w:rsidR="00680C65" w:rsidRPr="00680C65">
          <w:rPr>
            <w:rStyle w:val="aff4"/>
            <w:rFonts w:ascii="Verdana" w:hAnsi="Verdana"/>
            <w:sz w:val="14"/>
            <w:szCs w:val="14"/>
          </w:rPr>
          <w:t>.</w:t>
        </w:r>
        <w:r w:rsidR="00680C65" w:rsidRPr="00680C65">
          <w:rPr>
            <w:rStyle w:val="aff4"/>
            <w:rFonts w:ascii="Verdana" w:hAnsi="Verdana"/>
            <w:sz w:val="14"/>
            <w:szCs w:val="14"/>
            <w:lang w:val="en-US"/>
          </w:rPr>
          <w:t>com</w:t>
        </w:r>
        <w:r w:rsidR="00680C65" w:rsidRPr="00680C65">
          <w:rPr>
            <w:rStyle w:val="aff4"/>
            <w:rFonts w:ascii="Verdana" w:hAnsi="Verdana"/>
            <w:sz w:val="14"/>
            <w:szCs w:val="14"/>
          </w:rPr>
          <w:t>/</w:t>
        </w:r>
        <w:r w:rsidR="00680C65" w:rsidRPr="00680C65">
          <w:rPr>
            <w:rStyle w:val="aff4"/>
            <w:rFonts w:ascii="Verdana" w:hAnsi="Verdana"/>
            <w:sz w:val="14"/>
            <w:szCs w:val="14"/>
            <w:lang w:val="en-US"/>
          </w:rPr>
          <w:t>ru</w:t>
        </w:r>
        <w:r w:rsidR="00680C65" w:rsidRPr="00680C65">
          <w:rPr>
            <w:rStyle w:val="aff4"/>
            <w:rFonts w:ascii="Verdana" w:hAnsi="Verdana"/>
            <w:sz w:val="14"/>
            <w:szCs w:val="14"/>
          </w:rPr>
          <w:t>/</w:t>
        </w:r>
        <w:r w:rsidR="00680C65" w:rsidRPr="00680C65">
          <w:rPr>
            <w:rStyle w:val="aff4"/>
            <w:rFonts w:ascii="Verdana" w:hAnsi="Verdana"/>
            <w:sz w:val="14"/>
            <w:szCs w:val="14"/>
            <w:lang w:val="en-US"/>
          </w:rPr>
          <w:t>investor</w:t>
        </w:r>
        <w:r w:rsidR="00680C65" w:rsidRPr="00680C65">
          <w:rPr>
            <w:rStyle w:val="aff4"/>
            <w:rFonts w:ascii="Verdana" w:hAnsi="Verdana"/>
            <w:sz w:val="14"/>
            <w:szCs w:val="14"/>
          </w:rPr>
          <w:t>-</w:t>
        </w:r>
        <w:r w:rsidR="00680C65" w:rsidRPr="00680C65">
          <w:rPr>
            <w:rStyle w:val="aff4"/>
            <w:rFonts w:ascii="Verdana" w:hAnsi="Verdana"/>
            <w:sz w:val="14"/>
            <w:szCs w:val="14"/>
            <w:lang w:val="en-US"/>
          </w:rPr>
          <w:t>relations</w:t>
        </w:r>
        <w:r w:rsidR="00680C65" w:rsidRPr="00680C65">
          <w:rPr>
            <w:rStyle w:val="aff4"/>
            <w:rFonts w:ascii="Verdana" w:hAnsi="Verdana"/>
            <w:sz w:val="14"/>
            <w:szCs w:val="14"/>
          </w:rPr>
          <w:t>/</w:t>
        </w:r>
        <w:r w:rsidR="00680C65" w:rsidRPr="00680C65">
          <w:rPr>
            <w:rStyle w:val="aff4"/>
            <w:rFonts w:ascii="Verdana" w:hAnsi="Verdana"/>
            <w:sz w:val="14"/>
            <w:szCs w:val="14"/>
            <w:lang w:val="en-US"/>
          </w:rPr>
          <w:t>reports</w:t>
        </w:r>
        <w:r w:rsidR="00680C65" w:rsidRPr="00680C65">
          <w:rPr>
            <w:rStyle w:val="aff4"/>
            <w:rFonts w:ascii="Verdana" w:hAnsi="Verdana"/>
            <w:sz w:val="14"/>
            <w:szCs w:val="14"/>
          </w:rPr>
          <w:t>-</w:t>
        </w:r>
        <w:r w:rsidR="00680C65" w:rsidRPr="00680C65">
          <w:rPr>
            <w:rStyle w:val="aff4"/>
            <w:rFonts w:ascii="Verdana" w:hAnsi="Verdana"/>
            <w:sz w:val="14"/>
            <w:szCs w:val="14"/>
            <w:lang w:val="en-US"/>
          </w:rPr>
          <w:t>and</w:t>
        </w:r>
        <w:r w:rsidR="00680C65" w:rsidRPr="00680C65">
          <w:rPr>
            <w:rStyle w:val="aff4"/>
            <w:rFonts w:ascii="Verdana" w:hAnsi="Verdana"/>
            <w:sz w:val="14"/>
            <w:szCs w:val="14"/>
          </w:rPr>
          <w:t>-</w:t>
        </w:r>
        <w:r w:rsidR="00680C65" w:rsidRPr="00680C65">
          <w:rPr>
            <w:rStyle w:val="aff4"/>
            <w:rFonts w:ascii="Verdana" w:hAnsi="Verdana"/>
            <w:sz w:val="14"/>
            <w:szCs w:val="14"/>
            <w:lang w:val="en-US"/>
          </w:rPr>
          <w:t>publications</w:t>
        </w:r>
        <w:r w:rsidR="00680C65" w:rsidRPr="00680C65">
          <w:rPr>
            <w:rStyle w:val="aff4"/>
            <w:rFonts w:ascii="Verdana" w:hAnsi="Verdana"/>
            <w:sz w:val="14"/>
            <w:szCs w:val="14"/>
          </w:rPr>
          <w:t>/</w:t>
        </w:r>
        <w:r w:rsidR="00680C65" w:rsidRPr="00680C65">
          <w:rPr>
            <w:rStyle w:val="aff4"/>
            <w:rFonts w:ascii="Verdana" w:hAnsi="Verdana"/>
            <w:sz w:val="14"/>
            <w:szCs w:val="14"/>
            <w:lang w:val="en-US"/>
          </w:rPr>
          <w:t>ifrs</w:t>
        </w:r>
      </w:hyperlink>
      <w:r w:rsidR="00680C65" w:rsidRPr="00680C65">
        <w:rPr>
          <w:rFonts w:ascii="Verdana" w:hAnsi="Verdana"/>
          <w:sz w:val="14"/>
          <w:szCs w:val="14"/>
        </w:rPr>
        <w:t>)</w:t>
      </w:r>
    </w:p>
    <w:p w14:paraId="74E7CA21" w14:textId="17D0283F" w:rsidR="00401846" w:rsidRPr="003D51AC" w:rsidRDefault="00401846" w:rsidP="007867A0">
      <w:pPr>
        <w:pStyle w:val="aff5"/>
        <w:rPr>
          <w:sz w:val="16"/>
          <w:szCs w:val="16"/>
        </w:rPr>
      </w:pPr>
    </w:p>
  </w:footnote>
  <w:footnote w:id="24">
    <w:p w14:paraId="0F1E4A1C" w14:textId="2E15743C" w:rsidR="00401846" w:rsidRDefault="00401846" w:rsidP="00165204">
      <w:pPr>
        <w:pStyle w:val="Default"/>
        <w:spacing w:line="360" w:lineRule="auto"/>
        <w:jc w:val="both"/>
      </w:pPr>
    </w:p>
  </w:footnote>
  <w:footnote w:id="25">
    <w:p w14:paraId="4264810B" w14:textId="77777777" w:rsidR="00401846" w:rsidRPr="005E0F24" w:rsidRDefault="00401846" w:rsidP="001D77FA">
      <w:pPr>
        <w:pStyle w:val="af"/>
        <w:rPr>
          <w:rFonts w:ascii="Verdana" w:hAnsi="Verdana"/>
          <w:sz w:val="18"/>
        </w:rPr>
      </w:pPr>
      <w:r w:rsidRPr="005E0F24">
        <w:rPr>
          <w:rStyle w:val="aff7"/>
          <w:rFonts w:ascii="Verdana" w:hAnsi="Verdana"/>
          <w:sz w:val="18"/>
        </w:rPr>
        <w:footnoteRef/>
      </w:r>
      <w:r w:rsidRPr="005E0F24">
        <w:rPr>
          <w:rFonts w:ascii="Verdana" w:hAnsi="Verdana"/>
          <w:sz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24B761B5" w14:textId="77777777" w:rsidR="00401846" w:rsidRPr="005E0F24" w:rsidRDefault="00401846" w:rsidP="001D77FA">
      <w:pPr>
        <w:pStyle w:val="aff5"/>
        <w:rPr>
          <w:sz w:val="18"/>
        </w:rPr>
      </w:pPr>
    </w:p>
  </w:footnote>
  <w:footnote w:id="26">
    <w:p w14:paraId="2A2C2702" w14:textId="77777777" w:rsidR="00401846" w:rsidRPr="005E0F24" w:rsidRDefault="00401846" w:rsidP="001D77FA">
      <w:pPr>
        <w:pStyle w:val="aff5"/>
      </w:pPr>
      <w:r w:rsidRPr="005E0F24">
        <w:rPr>
          <w:rStyle w:val="aff7"/>
          <w:sz w:val="18"/>
        </w:rPr>
        <w:footnoteRef/>
      </w:r>
      <w:r w:rsidRPr="005E0F24">
        <w:rPr>
          <w:sz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5E0F24">
        <w:rPr>
          <w:sz w:val="18"/>
          <w:lang w:val="en-US"/>
        </w:rPr>
        <w:t>CDS</w:t>
      </w:r>
      <w:r w:rsidRPr="005E0F24">
        <w:rPr>
          <w:sz w:val="18"/>
        </w:rPr>
        <w:t>.</w:t>
      </w:r>
    </w:p>
  </w:footnote>
  <w:footnote w:id="27">
    <w:p w14:paraId="244F787F" w14:textId="77777777" w:rsidR="00401846" w:rsidRPr="00E21802" w:rsidRDefault="00401846" w:rsidP="009B224E">
      <w:pPr>
        <w:pStyle w:val="aff5"/>
        <w:jc w:val="both"/>
        <w:rPr>
          <w:sz w:val="16"/>
          <w:szCs w:val="16"/>
        </w:rPr>
      </w:pPr>
      <w:r w:rsidRPr="00E21802">
        <w:rPr>
          <w:rStyle w:val="aff7"/>
          <w:sz w:val="16"/>
          <w:szCs w:val="16"/>
        </w:rPr>
        <w:footnoteRef/>
      </w:r>
      <w:r w:rsidRPr="00E21802">
        <w:rPr>
          <w:sz w:val="16"/>
          <w:szCs w:val="16"/>
        </w:rPr>
        <w:t xml:space="preserve"> 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7CE6992" w14:textId="77777777" w:rsidR="00401846" w:rsidRPr="00E21802" w:rsidRDefault="00401846" w:rsidP="009B224E">
      <w:pPr>
        <w:pStyle w:val="aff5"/>
        <w:jc w:val="both"/>
        <w:rPr>
          <w:sz w:val="16"/>
          <w:szCs w:val="16"/>
        </w:rPr>
      </w:pPr>
      <w:r w:rsidRPr="00E21802">
        <w:rPr>
          <w:sz w:val="16"/>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4B4B9D0" w14:textId="77777777" w:rsidR="00401846" w:rsidRPr="00E21802" w:rsidRDefault="00401846" w:rsidP="009B224E">
      <w:pPr>
        <w:pStyle w:val="aff5"/>
        <w:rPr>
          <w:sz w:val="16"/>
          <w:szCs w:val="16"/>
        </w:rPr>
      </w:pPr>
      <w:r w:rsidRPr="00E21802">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8">
    <w:p w14:paraId="6001EA0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29">
    <w:p w14:paraId="447CA174"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0">
    <w:p w14:paraId="7C4AC9D6"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1">
    <w:p w14:paraId="5C2E09C1"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2">
    <w:p w14:paraId="6D392A6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Указанная стоимость подтверждается доступными данными о ценах на такие активы или активы с аналогичными потребительскими свойствами.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9D92" w14:textId="05AF78F9" w:rsidR="00401846" w:rsidRDefault="00401846">
    <w:pPr>
      <w:pStyle w:val="a6"/>
    </w:pPr>
  </w:p>
  <w:p w14:paraId="76C1DBCE" w14:textId="61FA188C" w:rsidR="00401846" w:rsidRDefault="00401846">
    <w:pPr>
      <w:pStyle w:val="a6"/>
    </w:pPr>
  </w:p>
  <w:p w14:paraId="528CA0C7" w14:textId="21E4EB2A" w:rsidR="00401846" w:rsidRDefault="00401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2A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01CE5"/>
    <w:multiLevelType w:val="hybridMultilevel"/>
    <w:tmpl w:val="D2E2E2C4"/>
    <w:lvl w:ilvl="0" w:tplc="D8F6FA7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644" w:hanging="360"/>
      </w:pPr>
    </w:lvl>
    <w:lvl w:ilvl="4" w:tplc="04190019">
      <w:start w:val="1"/>
      <w:numFmt w:val="lowerLetter"/>
      <w:lvlText w:val="%5."/>
      <w:lvlJc w:val="left"/>
      <w:pPr>
        <w:ind w:left="3382" w:hanging="360"/>
      </w:pPr>
    </w:lvl>
    <w:lvl w:ilvl="5" w:tplc="1444DCE8">
      <w:start w:val="90"/>
      <w:numFmt w:val="decimal"/>
      <w:lvlText w:val="%6"/>
      <w:lvlJc w:val="left"/>
      <w:pPr>
        <w:ind w:left="4282" w:hanging="360"/>
      </w:pPr>
      <w:rPr>
        <w:rFonts w:hint="default"/>
      </w:r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F9A4821"/>
    <w:multiLevelType w:val="multilevel"/>
    <w:tmpl w:val="A5CE6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35582E"/>
    <w:multiLevelType w:val="hybridMultilevel"/>
    <w:tmpl w:val="6B60A2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55A5B61"/>
    <w:multiLevelType w:val="hybridMultilevel"/>
    <w:tmpl w:val="DA22D3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2A3BED"/>
    <w:multiLevelType w:val="multilevel"/>
    <w:tmpl w:val="DAD0D9E4"/>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D167D1A"/>
    <w:multiLevelType w:val="hybridMultilevel"/>
    <w:tmpl w:val="2388955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8" w15:restartNumberingAfterBreak="0">
    <w:nsid w:val="212B16F6"/>
    <w:multiLevelType w:val="hybridMultilevel"/>
    <w:tmpl w:val="3FD670A0"/>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19"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1"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B865F7"/>
    <w:multiLevelType w:val="hybridMultilevel"/>
    <w:tmpl w:val="015A2AA8"/>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6"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1"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a0"/>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5"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811C48"/>
    <w:multiLevelType w:val="hybridMultilevel"/>
    <w:tmpl w:val="788E85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A300A9"/>
    <w:multiLevelType w:val="hybridMultilevel"/>
    <w:tmpl w:val="257A38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BF56DA"/>
    <w:multiLevelType w:val="multilevel"/>
    <w:tmpl w:val="B0ECF402"/>
    <w:lvl w:ilvl="0">
      <w:start w:val="1"/>
      <w:numFmt w:val="decimal"/>
      <w:pStyle w:val="10"/>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084CBB"/>
    <w:multiLevelType w:val="multilevel"/>
    <w:tmpl w:val="E34C72A2"/>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5"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7"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9"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0"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1"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15:restartNumberingAfterBreak="0">
    <w:nsid w:val="5E7863C9"/>
    <w:multiLevelType w:val="hybridMultilevel"/>
    <w:tmpl w:val="FCF25CA2"/>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868C7"/>
    <w:multiLevelType w:val="hybridMultilevel"/>
    <w:tmpl w:val="DF88F122"/>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D7F57"/>
    <w:multiLevelType w:val="hybridMultilevel"/>
    <w:tmpl w:val="8AAE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5" w15:restartNumberingAfterBreak="0">
    <w:nsid w:val="70C754C2"/>
    <w:multiLevelType w:val="multilevel"/>
    <w:tmpl w:val="AA54DE6A"/>
    <w:lvl w:ilvl="0">
      <w:start w:val="1"/>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1"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2"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7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73"/>
  </w:num>
  <w:num w:numId="5">
    <w:abstractNumId w:val="20"/>
  </w:num>
  <w:num w:numId="6">
    <w:abstractNumId w:val="44"/>
  </w:num>
  <w:num w:numId="7">
    <w:abstractNumId w:val="6"/>
  </w:num>
  <w:num w:numId="8">
    <w:abstractNumId w:val="50"/>
  </w:num>
  <w:num w:numId="9">
    <w:abstractNumId w:val="17"/>
  </w:num>
  <w:num w:numId="10">
    <w:abstractNumId w:val="34"/>
  </w:num>
  <w:num w:numId="11">
    <w:abstractNumId w:val="64"/>
  </w:num>
  <w:num w:numId="12">
    <w:abstractNumId w:val="43"/>
  </w:num>
  <w:num w:numId="13">
    <w:abstractNumId w:val="31"/>
  </w:num>
  <w:num w:numId="14">
    <w:abstractNumId w:val="40"/>
  </w:num>
  <w:num w:numId="15">
    <w:abstractNumId w:val="41"/>
  </w:num>
  <w:num w:numId="16">
    <w:abstractNumId w:val="59"/>
  </w:num>
  <w:num w:numId="17">
    <w:abstractNumId w:val="70"/>
  </w:num>
  <w:num w:numId="18">
    <w:abstractNumId w:val="13"/>
  </w:num>
  <w:num w:numId="19">
    <w:abstractNumId w:val="22"/>
  </w:num>
  <w:num w:numId="20">
    <w:abstractNumId w:val="75"/>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18"/>
  </w:num>
  <w:num w:numId="24">
    <w:abstractNumId w:val="71"/>
  </w:num>
  <w:num w:numId="25">
    <w:abstractNumId w:val="52"/>
  </w:num>
  <w:num w:numId="26">
    <w:abstractNumId w:val="74"/>
  </w:num>
  <w:num w:numId="27">
    <w:abstractNumId w:val="24"/>
  </w:num>
  <w:num w:numId="28">
    <w:abstractNumId w:val="35"/>
  </w:num>
  <w:num w:numId="29">
    <w:abstractNumId w:val="21"/>
  </w:num>
  <w:num w:numId="30">
    <w:abstractNumId w:val="72"/>
  </w:num>
  <w:num w:numId="31">
    <w:abstractNumId w:val="19"/>
  </w:num>
  <w:num w:numId="32">
    <w:abstractNumId w:val="12"/>
  </w:num>
  <w:num w:numId="33">
    <w:abstractNumId w:val="49"/>
  </w:num>
  <w:num w:numId="34">
    <w:abstractNumId w:val="30"/>
  </w:num>
  <w:num w:numId="35">
    <w:abstractNumId w:val="57"/>
  </w:num>
  <w:num w:numId="36">
    <w:abstractNumId w:val="54"/>
  </w:num>
  <w:num w:numId="37">
    <w:abstractNumId w:val="62"/>
  </w:num>
  <w:num w:numId="38">
    <w:abstractNumId w:val="56"/>
  </w:num>
  <w:num w:numId="39">
    <w:abstractNumId w:val="47"/>
  </w:num>
  <w:num w:numId="40">
    <w:abstractNumId w:val="32"/>
  </w:num>
  <w:num w:numId="41">
    <w:abstractNumId w:val="67"/>
  </w:num>
  <w:num w:numId="42">
    <w:abstractNumId w:val="61"/>
  </w:num>
  <w:num w:numId="43">
    <w:abstractNumId w:val="23"/>
  </w:num>
  <w:num w:numId="44">
    <w:abstractNumId w:val="7"/>
  </w:num>
  <w:num w:numId="45">
    <w:abstractNumId w:val="53"/>
  </w:num>
  <w:num w:numId="46">
    <w:abstractNumId w:val="29"/>
  </w:num>
  <w:num w:numId="47">
    <w:abstractNumId w:val="55"/>
  </w:num>
  <w:num w:numId="48">
    <w:abstractNumId w:val="1"/>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16"/>
  </w:num>
  <w:num w:numId="52">
    <w:abstractNumId w:val="33"/>
  </w:num>
  <w:num w:numId="53">
    <w:abstractNumId w:val="26"/>
  </w:num>
  <w:num w:numId="54">
    <w:abstractNumId w:val="3"/>
  </w:num>
  <w:num w:numId="55">
    <w:abstractNumId w:val="60"/>
  </w:num>
  <w:num w:numId="56">
    <w:abstractNumId w:val="28"/>
  </w:num>
  <w:num w:numId="57">
    <w:abstractNumId w:val="69"/>
  </w:num>
  <w:num w:numId="58">
    <w:abstractNumId w:val="45"/>
  </w:num>
  <w:num w:numId="59">
    <w:abstractNumId w:val="68"/>
  </w:num>
  <w:num w:numId="60">
    <w:abstractNumId w:val="39"/>
  </w:num>
  <w:num w:numId="61">
    <w:abstractNumId w:val="58"/>
  </w:num>
  <w:num w:numId="62">
    <w:abstractNumId w:val="25"/>
  </w:num>
  <w:num w:numId="63">
    <w:abstractNumId w:val="8"/>
  </w:num>
  <w:num w:numId="6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37"/>
  </w:num>
  <w:num w:numId="67">
    <w:abstractNumId w:val="27"/>
  </w:num>
  <w:num w:numId="68">
    <w:abstractNumId w:val="2"/>
  </w:num>
  <w:num w:numId="69">
    <w:abstractNumId w:val="38"/>
  </w:num>
  <w:num w:numId="70">
    <w:abstractNumId w:val="65"/>
  </w:num>
  <w:num w:numId="71">
    <w:abstractNumId w:val="42"/>
  </w:num>
  <w:num w:numId="72">
    <w:abstractNumId w:val="9"/>
  </w:num>
  <w:num w:numId="73">
    <w:abstractNumId w:val="36"/>
  </w:num>
  <w:num w:numId="74">
    <w:abstractNumId w:val="5"/>
  </w:num>
  <w:num w:numId="75">
    <w:abstractNumId w:val="10"/>
  </w:num>
  <w:num w:numId="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B1"/>
    <w:rsid w:val="00005EC7"/>
    <w:rsid w:val="00011C59"/>
    <w:rsid w:val="00021F2C"/>
    <w:rsid w:val="0002295E"/>
    <w:rsid w:val="00025781"/>
    <w:rsid w:val="0003474D"/>
    <w:rsid w:val="000426C3"/>
    <w:rsid w:val="00042DBF"/>
    <w:rsid w:val="0004394C"/>
    <w:rsid w:val="00055C2E"/>
    <w:rsid w:val="00056A45"/>
    <w:rsid w:val="00070CCA"/>
    <w:rsid w:val="0008248D"/>
    <w:rsid w:val="0008401B"/>
    <w:rsid w:val="00086BBB"/>
    <w:rsid w:val="000917EC"/>
    <w:rsid w:val="000A1560"/>
    <w:rsid w:val="000A22CF"/>
    <w:rsid w:val="000A48B6"/>
    <w:rsid w:val="000A58AF"/>
    <w:rsid w:val="000B77F5"/>
    <w:rsid w:val="000C3210"/>
    <w:rsid w:val="000C51A7"/>
    <w:rsid w:val="000F580C"/>
    <w:rsid w:val="000F68A0"/>
    <w:rsid w:val="0011535F"/>
    <w:rsid w:val="00122100"/>
    <w:rsid w:val="0012297D"/>
    <w:rsid w:val="00131B33"/>
    <w:rsid w:val="00133C7E"/>
    <w:rsid w:val="00157AB6"/>
    <w:rsid w:val="00165204"/>
    <w:rsid w:val="001654B1"/>
    <w:rsid w:val="00171C2F"/>
    <w:rsid w:val="00172EEF"/>
    <w:rsid w:val="0018184B"/>
    <w:rsid w:val="001871BB"/>
    <w:rsid w:val="001975FC"/>
    <w:rsid w:val="001A56F4"/>
    <w:rsid w:val="001A787F"/>
    <w:rsid w:val="001B2FC9"/>
    <w:rsid w:val="001C2595"/>
    <w:rsid w:val="001C3896"/>
    <w:rsid w:val="001D77FA"/>
    <w:rsid w:val="001E5765"/>
    <w:rsid w:val="001E59E0"/>
    <w:rsid w:val="001F7046"/>
    <w:rsid w:val="00200976"/>
    <w:rsid w:val="00200A70"/>
    <w:rsid w:val="00207B0A"/>
    <w:rsid w:val="00216873"/>
    <w:rsid w:val="00217FA8"/>
    <w:rsid w:val="002359FA"/>
    <w:rsid w:val="00242A17"/>
    <w:rsid w:val="00245662"/>
    <w:rsid w:val="00257411"/>
    <w:rsid w:val="002626C7"/>
    <w:rsid w:val="002739A9"/>
    <w:rsid w:val="0027784D"/>
    <w:rsid w:val="0028061E"/>
    <w:rsid w:val="002821EE"/>
    <w:rsid w:val="00291973"/>
    <w:rsid w:val="00294F4F"/>
    <w:rsid w:val="002A1832"/>
    <w:rsid w:val="002A45F0"/>
    <w:rsid w:val="002B387A"/>
    <w:rsid w:val="002B52E4"/>
    <w:rsid w:val="002B53BB"/>
    <w:rsid w:val="002B74C5"/>
    <w:rsid w:val="002C3842"/>
    <w:rsid w:val="002D06F6"/>
    <w:rsid w:val="002D17B6"/>
    <w:rsid w:val="002E498D"/>
    <w:rsid w:val="002E656C"/>
    <w:rsid w:val="002F3690"/>
    <w:rsid w:val="00301B48"/>
    <w:rsid w:val="00302557"/>
    <w:rsid w:val="00306490"/>
    <w:rsid w:val="00307978"/>
    <w:rsid w:val="00327F94"/>
    <w:rsid w:val="00334D05"/>
    <w:rsid w:val="003355A0"/>
    <w:rsid w:val="00337564"/>
    <w:rsid w:val="00337E7C"/>
    <w:rsid w:val="00352F2E"/>
    <w:rsid w:val="00354B4C"/>
    <w:rsid w:val="0036042D"/>
    <w:rsid w:val="00361CC8"/>
    <w:rsid w:val="00377EC3"/>
    <w:rsid w:val="003844C3"/>
    <w:rsid w:val="00391C41"/>
    <w:rsid w:val="003A137A"/>
    <w:rsid w:val="003A47AC"/>
    <w:rsid w:val="003A7D93"/>
    <w:rsid w:val="003B193F"/>
    <w:rsid w:val="003C11BF"/>
    <w:rsid w:val="003C43F8"/>
    <w:rsid w:val="003D1DCA"/>
    <w:rsid w:val="003D51AC"/>
    <w:rsid w:val="003E1CA4"/>
    <w:rsid w:val="003F0D73"/>
    <w:rsid w:val="00401846"/>
    <w:rsid w:val="00411A4A"/>
    <w:rsid w:val="00414615"/>
    <w:rsid w:val="00421381"/>
    <w:rsid w:val="00432417"/>
    <w:rsid w:val="00441544"/>
    <w:rsid w:val="004420FA"/>
    <w:rsid w:val="00464B49"/>
    <w:rsid w:val="00465C8F"/>
    <w:rsid w:val="00470555"/>
    <w:rsid w:val="004705B4"/>
    <w:rsid w:val="00473C97"/>
    <w:rsid w:val="004803F1"/>
    <w:rsid w:val="00481461"/>
    <w:rsid w:val="00482EEC"/>
    <w:rsid w:val="00491AB4"/>
    <w:rsid w:val="004A22A8"/>
    <w:rsid w:val="004A3A89"/>
    <w:rsid w:val="004B3763"/>
    <w:rsid w:val="004B4E27"/>
    <w:rsid w:val="004C3F80"/>
    <w:rsid w:val="004C52B1"/>
    <w:rsid w:val="004C6E70"/>
    <w:rsid w:val="004D5E2F"/>
    <w:rsid w:val="004E319D"/>
    <w:rsid w:val="004E5154"/>
    <w:rsid w:val="004E525A"/>
    <w:rsid w:val="004F3203"/>
    <w:rsid w:val="004F467D"/>
    <w:rsid w:val="004F58C9"/>
    <w:rsid w:val="004F745D"/>
    <w:rsid w:val="00502C71"/>
    <w:rsid w:val="0050351C"/>
    <w:rsid w:val="005127CA"/>
    <w:rsid w:val="00516E09"/>
    <w:rsid w:val="005239E9"/>
    <w:rsid w:val="00545CE5"/>
    <w:rsid w:val="00554F08"/>
    <w:rsid w:val="00561762"/>
    <w:rsid w:val="0056296A"/>
    <w:rsid w:val="00565FB9"/>
    <w:rsid w:val="005675C4"/>
    <w:rsid w:val="005732AC"/>
    <w:rsid w:val="00573A9D"/>
    <w:rsid w:val="00575D18"/>
    <w:rsid w:val="005852E9"/>
    <w:rsid w:val="00597EB1"/>
    <w:rsid w:val="005A1CFC"/>
    <w:rsid w:val="005A6FFB"/>
    <w:rsid w:val="005A76F5"/>
    <w:rsid w:val="005B381D"/>
    <w:rsid w:val="005C1C11"/>
    <w:rsid w:val="005D6EBF"/>
    <w:rsid w:val="005D7724"/>
    <w:rsid w:val="005E5988"/>
    <w:rsid w:val="005F602A"/>
    <w:rsid w:val="006002E2"/>
    <w:rsid w:val="00603BA9"/>
    <w:rsid w:val="0062058F"/>
    <w:rsid w:val="006278B2"/>
    <w:rsid w:val="006328C9"/>
    <w:rsid w:val="00633778"/>
    <w:rsid w:val="00636016"/>
    <w:rsid w:val="00651BCD"/>
    <w:rsid w:val="006530C8"/>
    <w:rsid w:val="006549CF"/>
    <w:rsid w:val="0065798E"/>
    <w:rsid w:val="00680C65"/>
    <w:rsid w:val="006A0495"/>
    <w:rsid w:val="006B1D3C"/>
    <w:rsid w:val="006B27C6"/>
    <w:rsid w:val="006C24B8"/>
    <w:rsid w:val="006D15AC"/>
    <w:rsid w:val="006D251D"/>
    <w:rsid w:val="006D324A"/>
    <w:rsid w:val="006D4131"/>
    <w:rsid w:val="006D7C0A"/>
    <w:rsid w:val="006E5D92"/>
    <w:rsid w:val="006E6803"/>
    <w:rsid w:val="006F3A19"/>
    <w:rsid w:val="00701E2D"/>
    <w:rsid w:val="00705386"/>
    <w:rsid w:val="00711E39"/>
    <w:rsid w:val="00712B6B"/>
    <w:rsid w:val="00712D10"/>
    <w:rsid w:val="00720311"/>
    <w:rsid w:val="00722C11"/>
    <w:rsid w:val="0072563B"/>
    <w:rsid w:val="00726CFF"/>
    <w:rsid w:val="00727D73"/>
    <w:rsid w:val="00744BE5"/>
    <w:rsid w:val="00745D70"/>
    <w:rsid w:val="00756F91"/>
    <w:rsid w:val="007600DC"/>
    <w:rsid w:val="0077252B"/>
    <w:rsid w:val="00780F52"/>
    <w:rsid w:val="007862EB"/>
    <w:rsid w:val="007867A0"/>
    <w:rsid w:val="007A31C9"/>
    <w:rsid w:val="007A5154"/>
    <w:rsid w:val="007B0DA6"/>
    <w:rsid w:val="007B2599"/>
    <w:rsid w:val="007B2DDB"/>
    <w:rsid w:val="007C51D0"/>
    <w:rsid w:val="007D0A5F"/>
    <w:rsid w:val="007D0BE8"/>
    <w:rsid w:val="007E745B"/>
    <w:rsid w:val="007F34B7"/>
    <w:rsid w:val="00803D57"/>
    <w:rsid w:val="00810835"/>
    <w:rsid w:val="00811206"/>
    <w:rsid w:val="0081317C"/>
    <w:rsid w:val="00816C4E"/>
    <w:rsid w:val="00816E97"/>
    <w:rsid w:val="008172F2"/>
    <w:rsid w:val="00817651"/>
    <w:rsid w:val="00824A37"/>
    <w:rsid w:val="0083741A"/>
    <w:rsid w:val="0084370E"/>
    <w:rsid w:val="00850648"/>
    <w:rsid w:val="00861913"/>
    <w:rsid w:val="0086506E"/>
    <w:rsid w:val="0088150F"/>
    <w:rsid w:val="008864F9"/>
    <w:rsid w:val="00891211"/>
    <w:rsid w:val="00891899"/>
    <w:rsid w:val="008A33E7"/>
    <w:rsid w:val="008C0811"/>
    <w:rsid w:val="008C37E3"/>
    <w:rsid w:val="008C6B98"/>
    <w:rsid w:val="008E5B88"/>
    <w:rsid w:val="008E621B"/>
    <w:rsid w:val="008E7E14"/>
    <w:rsid w:val="008F40E9"/>
    <w:rsid w:val="009040A3"/>
    <w:rsid w:val="0091099D"/>
    <w:rsid w:val="00916A88"/>
    <w:rsid w:val="0093139E"/>
    <w:rsid w:val="0093343E"/>
    <w:rsid w:val="00950FCB"/>
    <w:rsid w:val="0095485E"/>
    <w:rsid w:val="00970391"/>
    <w:rsid w:val="009814C8"/>
    <w:rsid w:val="00982ECD"/>
    <w:rsid w:val="00984025"/>
    <w:rsid w:val="009931FC"/>
    <w:rsid w:val="00995650"/>
    <w:rsid w:val="009A5416"/>
    <w:rsid w:val="009A6D20"/>
    <w:rsid w:val="009B224E"/>
    <w:rsid w:val="009B22EA"/>
    <w:rsid w:val="009C5E0D"/>
    <w:rsid w:val="009C7C1B"/>
    <w:rsid w:val="009C7D48"/>
    <w:rsid w:val="009D460D"/>
    <w:rsid w:val="009D7366"/>
    <w:rsid w:val="009F0110"/>
    <w:rsid w:val="009F4B14"/>
    <w:rsid w:val="009F51CB"/>
    <w:rsid w:val="009F6B9E"/>
    <w:rsid w:val="009F7C39"/>
    <w:rsid w:val="00A10DB7"/>
    <w:rsid w:val="00A12F11"/>
    <w:rsid w:val="00A15D06"/>
    <w:rsid w:val="00A31698"/>
    <w:rsid w:val="00A46E4C"/>
    <w:rsid w:val="00A528A9"/>
    <w:rsid w:val="00A5725C"/>
    <w:rsid w:val="00A62C8B"/>
    <w:rsid w:val="00A751B3"/>
    <w:rsid w:val="00A76F6F"/>
    <w:rsid w:val="00A81F37"/>
    <w:rsid w:val="00A85090"/>
    <w:rsid w:val="00A90387"/>
    <w:rsid w:val="00A955C0"/>
    <w:rsid w:val="00AA349B"/>
    <w:rsid w:val="00AB2790"/>
    <w:rsid w:val="00AB614B"/>
    <w:rsid w:val="00AC0AC9"/>
    <w:rsid w:val="00AC2D5B"/>
    <w:rsid w:val="00AD2037"/>
    <w:rsid w:val="00AD5282"/>
    <w:rsid w:val="00AD65EC"/>
    <w:rsid w:val="00AE71F5"/>
    <w:rsid w:val="00AF12C6"/>
    <w:rsid w:val="00AF474B"/>
    <w:rsid w:val="00B00D0F"/>
    <w:rsid w:val="00B03CB2"/>
    <w:rsid w:val="00B03F23"/>
    <w:rsid w:val="00B12109"/>
    <w:rsid w:val="00B145F1"/>
    <w:rsid w:val="00B23187"/>
    <w:rsid w:val="00B26DEA"/>
    <w:rsid w:val="00B416C3"/>
    <w:rsid w:val="00B6202E"/>
    <w:rsid w:val="00B74E8D"/>
    <w:rsid w:val="00B80935"/>
    <w:rsid w:val="00B841EA"/>
    <w:rsid w:val="00B84781"/>
    <w:rsid w:val="00B90EF6"/>
    <w:rsid w:val="00B91ABE"/>
    <w:rsid w:val="00B928E4"/>
    <w:rsid w:val="00B96CB1"/>
    <w:rsid w:val="00BA37E2"/>
    <w:rsid w:val="00BA58A2"/>
    <w:rsid w:val="00BB024D"/>
    <w:rsid w:val="00BB30B9"/>
    <w:rsid w:val="00BB5FB0"/>
    <w:rsid w:val="00BB664A"/>
    <w:rsid w:val="00BC10EF"/>
    <w:rsid w:val="00BC2162"/>
    <w:rsid w:val="00BC4282"/>
    <w:rsid w:val="00BC6073"/>
    <w:rsid w:val="00BC76DD"/>
    <w:rsid w:val="00BD091D"/>
    <w:rsid w:val="00BD2074"/>
    <w:rsid w:val="00BD2EB5"/>
    <w:rsid w:val="00BD509B"/>
    <w:rsid w:val="00BE684A"/>
    <w:rsid w:val="00BF43EC"/>
    <w:rsid w:val="00BF5DD7"/>
    <w:rsid w:val="00BF7B47"/>
    <w:rsid w:val="00BF7DB7"/>
    <w:rsid w:val="00C01891"/>
    <w:rsid w:val="00C036D5"/>
    <w:rsid w:val="00C0757B"/>
    <w:rsid w:val="00C109A0"/>
    <w:rsid w:val="00C22B90"/>
    <w:rsid w:val="00C309FE"/>
    <w:rsid w:val="00C40189"/>
    <w:rsid w:val="00C47AD9"/>
    <w:rsid w:val="00C54998"/>
    <w:rsid w:val="00C55710"/>
    <w:rsid w:val="00C6057E"/>
    <w:rsid w:val="00C661ED"/>
    <w:rsid w:val="00C70589"/>
    <w:rsid w:val="00C72BAA"/>
    <w:rsid w:val="00C77D89"/>
    <w:rsid w:val="00C901C3"/>
    <w:rsid w:val="00C926AF"/>
    <w:rsid w:val="00C96744"/>
    <w:rsid w:val="00CB6A57"/>
    <w:rsid w:val="00CB7E01"/>
    <w:rsid w:val="00CC1AFA"/>
    <w:rsid w:val="00CC3646"/>
    <w:rsid w:val="00CC70F1"/>
    <w:rsid w:val="00CC7E63"/>
    <w:rsid w:val="00CF7520"/>
    <w:rsid w:val="00D003BC"/>
    <w:rsid w:val="00D066CD"/>
    <w:rsid w:val="00D1505B"/>
    <w:rsid w:val="00D17C2C"/>
    <w:rsid w:val="00D22A61"/>
    <w:rsid w:val="00D24CCC"/>
    <w:rsid w:val="00D27789"/>
    <w:rsid w:val="00D4072C"/>
    <w:rsid w:val="00D4223A"/>
    <w:rsid w:val="00D459AF"/>
    <w:rsid w:val="00D45E33"/>
    <w:rsid w:val="00D52C69"/>
    <w:rsid w:val="00D63E51"/>
    <w:rsid w:val="00D7260A"/>
    <w:rsid w:val="00D7272E"/>
    <w:rsid w:val="00D93BF1"/>
    <w:rsid w:val="00DB23E2"/>
    <w:rsid w:val="00DC1191"/>
    <w:rsid w:val="00DC1B6C"/>
    <w:rsid w:val="00DC3099"/>
    <w:rsid w:val="00DC549F"/>
    <w:rsid w:val="00DD581A"/>
    <w:rsid w:val="00DE0ED4"/>
    <w:rsid w:val="00DE67AF"/>
    <w:rsid w:val="00DF2804"/>
    <w:rsid w:val="00DF6CE2"/>
    <w:rsid w:val="00E03057"/>
    <w:rsid w:val="00E130B0"/>
    <w:rsid w:val="00E177A4"/>
    <w:rsid w:val="00E21802"/>
    <w:rsid w:val="00E2400B"/>
    <w:rsid w:val="00E364BC"/>
    <w:rsid w:val="00E453B7"/>
    <w:rsid w:val="00E5516D"/>
    <w:rsid w:val="00E62E90"/>
    <w:rsid w:val="00E70884"/>
    <w:rsid w:val="00E77E0B"/>
    <w:rsid w:val="00E8357C"/>
    <w:rsid w:val="00E91555"/>
    <w:rsid w:val="00E94F46"/>
    <w:rsid w:val="00EA095C"/>
    <w:rsid w:val="00ED187A"/>
    <w:rsid w:val="00ED57AA"/>
    <w:rsid w:val="00EE7015"/>
    <w:rsid w:val="00EF37DA"/>
    <w:rsid w:val="00EF6A0E"/>
    <w:rsid w:val="00F1310D"/>
    <w:rsid w:val="00F23930"/>
    <w:rsid w:val="00F25251"/>
    <w:rsid w:val="00F42AB2"/>
    <w:rsid w:val="00F44B71"/>
    <w:rsid w:val="00F525E7"/>
    <w:rsid w:val="00F61B08"/>
    <w:rsid w:val="00F8024A"/>
    <w:rsid w:val="00F80E99"/>
    <w:rsid w:val="00F9000B"/>
    <w:rsid w:val="00F90EA9"/>
    <w:rsid w:val="00F975D0"/>
    <w:rsid w:val="00FA47D6"/>
    <w:rsid w:val="00FA4B1C"/>
    <w:rsid w:val="00FB6902"/>
    <w:rsid w:val="00FC005A"/>
    <w:rsid w:val="00FC2A6D"/>
    <w:rsid w:val="00FC47C0"/>
    <w:rsid w:val="00FD29BB"/>
    <w:rsid w:val="00FD2F9C"/>
    <w:rsid w:val="00FD2FEB"/>
    <w:rsid w:val="00FE5E05"/>
    <w:rsid w:val="00FE6976"/>
    <w:rsid w:val="00FF10B0"/>
    <w:rsid w:val="00FF508F"/>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B37AC"/>
  <w15:chartTrackingRefBased/>
  <w15:docId w15:val="{6065A157-7F4A-4A2E-A32A-84CDC95F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F508F"/>
  </w:style>
  <w:style w:type="paragraph" w:styleId="11">
    <w:name w:val="heading 1"/>
    <w:basedOn w:val="a2"/>
    <w:next w:val="a2"/>
    <w:link w:val="12"/>
    <w:uiPriority w:val="9"/>
    <w:qFormat/>
    <w:rsid w:val="004C6E7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0">
    <w:name w:val="heading 2"/>
    <w:basedOn w:val="a2"/>
    <w:next w:val="a2"/>
    <w:link w:val="21"/>
    <w:uiPriority w:val="9"/>
    <w:unhideWhenUsed/>
    <w:qFormat/>
    <w:rsid w:val="004C6E7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0">
    <w:name w:val="heading 3"/>
    <w:aliases w:val="Заголовок 3 Знак1,Заголовок 3 Знак Знак"/>
    <w:basedOn w:val="a2"/>
    <w:next w:val="a2"/>
    <w:link w:val="31"/>
    <w:unhideWhenUsed/>
    <w:qFormat/>
    <w:rsid w:val="004C6E7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2"/>
    <w:next w:val="a2"/>
    <w:link w:val="40"/>
    <w:unhideWhenUsed/>
    <w:qFormat/>
    <w:rsid w:val="004C6E7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2"/>
    <w:next w:val="a2"/>
    <w:link w:val="50"/>
    <w:unhideWhenUsed/>
    <w:qFormat/>
    <w:rsid w:val="004C6E7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2"/>
    <w:next w:val="a2"/>
    <w:link w:val="60"/>
    <w:unhideWhenUsed/>
    <w:qFormat/>
    <w:rsid w:val="004C6E7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2"/>
    <w:next w:val="a2"/>
    <w:link w:val="70"/>
    <w:unhideWhenUsed/>
    <w:qFormat/>
    <w:rsid w:val="004C6E70"/>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2"/>
    <w:next w:val="a2"/>
    <w:link w:val="80"/>
    <w:unhideWhenUsed/>
    <w:qFormat/>
    <w:rsid w:val="004C6E7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2"/>
    <w:next w:val="a2"/>
    <w:link w:val="90"/>
    <w:unhideWhenUsed/>
    <w:qFormat/>
    <w:rsid w:val="004C6E7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1654B1"/>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1654B1"/>
  </w:style>
  <w:style w:type="paragraph" w:styleId="a8">
    <w:name w:val="footer"/>
    <w:basedOn w:val="a2"/>
    <w:link w:val="a9"/>
    <w:uiPriority w:val="99"/>
    <w:unhideWhenUsed/>
    <w:rsid w:val="001654B1"/>
    <w:pPr>
      <w:tabs>
        <w:tab w:val="center" w:pos="4677"/>
        <w:tab w:val="right" w:pos="9355"/>
      </w:tabs>
      <w:spacing w:after="0" w:line="240" w:lineRule="auto"/>
    </w:pPr>
  </w:style>
  <w:style w:type="character" w:customStyle="1" w:styleId="a9">
    <w:name w:val="Нижний колонтитул Знак"/>
    <w:basedOn w:val="a3"/>
    <w:link w:val="a8"/>
    <w:uiPriority w:val="99"/>
    <w:rsid w:val="001654B1"/>
  </w:style>
  <w:style w:type="paragraph" w:customStyle="1" w:styleId="a">
    <w:name w:val="Список с буллитом"/>
    <w:basedOn w:val="a2"/>
    <w:qFormat/>
    <w:rsid w:val="001654B1"/>
    <w:pPr>
      <w:widowControl w:val="0"/>
      <w:numPr>
        <w:numId w:val="1"/>
      </w:numPr>
      <w:spacing w:after="0" w:line="360" w:lineRule="auto"/>
      <w:contextualSpacing/>
      <w:jc w:val="both"/>
    </w:pPr>
    <w:rPr>
      <w:rFonts w:ascii="Verdana" w:hAnsi="Verdana"/>
    </w:rPr>
  </w:style>
  <w:style w:type="paragraph" w:customStyle="1" w:styleId="13">
    <w:name w:val="Абзац списка1"/>
    <w:basedOn w:val="a2"/>
    <w:rsid w:val="001654B1"/>
    <w:pPr>
      <w:spacing w:after="0" w:line="240" w:lineRule="auto"/>
      <w:ind w:left="720"/>
    </w:pPr>
    <w:rPr>
      <w:rFonts w:ascii="Times New Roman" w:eastAsia="Times New Roman" w:hAnsi="Times New Roman"/>
      <w:sz w:val="24"/>
      <w:szCs w:val="20"/>
      <w:lang w:eastAsia="ru-RU"/>
    </w:rPr>
  </w:style>
  <w:style w:type="paragraph" w:styleId="aa">
    <w:name w:val="Body Text"/>
    <w:basedOn w:val="a2"/>
    <w:link w:val="ab"/>
    <w:uiPriority w:val="99"/>
    <w:unhideWhenUsed/>
    <w:rsid w:val="001654B1"/>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basedOn w:val="a3"/>
    <w:link w:val="aa"/>
    <w:uiPriority w:val="99"/>
    <w:rsid w:val="001654B1"/>
    <w:rPr>
      <w:rFonts w:ascii="Times New Roman" w:eastAsia="Times New Roman" w:hAnsi="Times New Roman" w:cs="Times New Roman"/>
      <w:sz w:val="24"/>
      <w:szCs w:val="24"/>
      <w:lang w:eastAsia="ru-RU"/>
    </w:rPr>
  </w:style>
  <w:style w:type="paragraph" w:customStyle="1" w:styleId="ConsPlusNormal">
    <w:name w:val="ConsPlusNormal"/>
    <w:rsid w:val="001654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Heading Bullet,UL,Абзац маркированнный,Предусловия,Шаг процесса,ПАРАГРАФ,Bullet List,FooterText,numbered,Table-Normal,RSHB_Table-Normal,Paragraphe de liste1,lp1,SL_Абзац списка,Нумерованый список,СпБезКС,Bullet Number,Индексы,Num Bullet 1"/>
    <w:basedOn w:val="a2"/>
    <w:link w:val="ad"/>
    <w:uiPriority w:val="34"/>
    <w:qFormat/>
    <w:rsid w:val="001654B1"/>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ПАРАГРАФ Знак,Bullet List Знак,FooterText Знак,numbered Знак,Table-Normal Знак,RSHB_Table-Normal Знак,Paragraphe de liste1 Знак,lp1 Знак"/>
    <w:link w:val="ac"/>
    <w:uiPriority w:val="34"/>
    <w:rsid w:val="001654B1"/>
  </w:style>
  <w:style w:type="character" w:customStyle="1" w:styleId="12">
    <w:name w:val="Заголовок 1 Знак"/>
    <w:basedOn w:val="a3"/>
    <w:link w:val="11"/>
    <w:rsid w:val="004C6E70"/>
    <w:rPr>
      <w:rFonts w:asciiTheme="majorHAnsi" w:eastAsiaTheme="majorEastAsia" w:hAnsiTheme="majorHAnsi" w:cstheme="majorBidi"/>
      <w:color w:val="2E74B5" w:themeColor="accent1" w:themeShade="BF"/>
      <w:sz w:val="30"/>
      <w:szCs w:val="30"/>
    </w:rPr>
  </w:style>
  <w:style w:type="character" w:customStyle="1" w:styleId="21">
    <w:name w:val="Заголовок 2 Знак"/>
    <w:basedOn w:val="a3"/>
    <w:link w:val="20"/>
    <w:rsid w:val="004C6E70"/>
    <w:rPr>
      <w:rFonts w:asciiTheme="majorHAnsi" w:eastAsiaTheme="majorEastAsia" w:hAnsiTheme="majorHAnsi" w:cstheme="majorBidi"/>
      <w:color w:val="C45911" w:themeColor="accent2" w:themeShade="BF"/>
      <w:sz w:val="28"/>
      <w:szCs w:val="28"/>
    </w:rPr>
  </w:style>
  <w:style w:type="character" w:customStyle="1" w:styleId="31">
    <w:name w:val="Заголовок 3 Знак"/>
    <w:aliases w:val="Заголовок 3 Знак1 Знак,Заголовок 3 Знак Знак Знак"/>
    <w:basedOn w:val="a3"/>
    <w:link w:val="30"/>
    <w:rsid w:val="004C6E70"/>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3"/>
    <w:link w:val="4"/>
    <w:uiPriority w:val="9"/>
    <w:rsid w:val="004C6E70"/>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3"/>
    <w:link w:val="5"/>
    <w:uiPriority w:val="9"/>
    <w:rsid w:val="004C6E70"/>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3"/>
    <w:link w:val="6"/>
    <w:uiPriority w:val="9"/>
    <w:rsid w:val="004C6E70"/>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3"/>
    <w:link w:val="7"/>
    <w:uiPriority w:val="9"/>
    <w:rsid w:val="004C6E70"/>
    <w:rPr>
      <w:rFonts w:asciiTheme="majorHAnsi" w:eastAsiaTheme="majorEastAsia" w:hAnsiTheme="majorHAnsi" w:cstheme="majorBidi"/>
      <w:color w:val="1F4E79" w:themeColor="accent1" w:themeShade="80"/>
    </w:rPr>
  </w:style>
  <w:style w:type="character" w:customStyle="1" w:styleId="80">
    <w:name w:val="Заголовок 8 Знак"/>
    <w:basedOn w:val="a3"/>
    <w:link w:val="8"/>
    <w:uiPriority w:val="9"/>
    <w:rsid w:val="004C6E70"/>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3"/>
    <w:link w:val="9"/>
    <w:uiPriority w:val="9"/>
    <w:rsid w:val="004C6E70"/>
    <w:rPr>
      <w:rFonts w:asciiTheme="majorHAnsi" w:eastAsiaTheme="majorEastAsia" w:hAnsiTheme="majorHAnsi" w:cstheme="majorBidi"/>
      <w:color w:val="385623" w:themeColor="accent6" w:themeShade="80"/>
    </w:rPr>
  </w:style>
  <w:style w:type="character" w:styleId="ae">
    <w:name w:val="annotation reference"/>
    <w:uiPriority w:val="99"/>
    <w:unhideWhenUsed/>
    <w:rsid w:val="005852E9"/>
    <w:rPr>
      <w:sz w:val="16"/>
      <w:szCs w:val="16"/>
    </w:rPr>
  </w:style>
  <w:style w:type="paragraph" w:styleId="af">
    <w:name w:val="annotation text"/>
    <w:basedOn w:val="a2"/>
    <w:link w:val="af0"/>
    <w:uiPriority w:val="99"/>
    <w:unhideWhenUsed/>
    <w:rsid w:val="005852E9"/>
    <w:pPr>
      <w:spacing w:line="240" w:lineRule="auto"/>
    </w:pPr>
    <w:rPr>
      <w:sz w:val="20"/>
      <w:szCs w:val="20"/>
    </w:rPr>
  </w:style>
  <w:style w:type="character" w:customStyle="1" w:styleId="af0">
    <w:name w:val="Текст примечания Знак"/>
    <w:basedOn w:val="a3"/>
    <w:link w:val="af"/>
    <w:uiPriority w:val="99"/>
    <w:rsid w:val="005852E9"/>
    <w:rPr>
      <w:rFonts w:ascii="Calibri" w:eastAsia="Calibri" w:hAnsi="Calibri" w:cs="Times New Roman"/>
      <w:sz w:val="20"/>
      <w:szCs w:val="20"/>
    </w:rPr>
  </w:style>
  <w:style w:type="paragraph" w:styleId="af1">
    <w:name w:val="Balloon Text"/>
    <w:basedOn w:val="a2"/>
    <w:link w:val="af2"/>
    <w:uiPriority w:val="99"/>
    <w:semiHidden/>
    <w:unhideWhenUsed/>
    <w:rsid w:val="005852E9"/>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5852E9"/>
    <w:rPr>
      <w:rFonts w:ascii="Segoe UI" w:eastAsia="Calibri" w:hAnsi="Segoe UI" w:cs="Segoe UI"/>
      <w:sz w:val="18"/>
      <w:szCs w:val="18"/>
    </w:rPr>
  </w:style>
  <w:style w:type="table" w:styleId="af3">
    <w:name w:val="Table Grid"/>
    <w:basedOn w:val="a4"/>
    <w:rsid w:val="009109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2"/>
    <w:next w:val="a2"/>
    <w:uiPriority w:val="35"/>
    <w:unhideWhenUsed/>
    <w:qFormat/>
    <w:rsid w:val="004C6E70"/>
    <w:pPr>
      <w:spacing w:line="240" w:lineRule="auto"/>
    </w:pPr>
    <w:rPr>
      <w:b/>
      <w:bCs/>
      <w:smallCaps/>
      <w:color w:val="5B9BD5" w:themeColor="accent1"/>
      <w:spacing w:val="6"/>
    </w:rPr>
  </w:style>
  <w:style w:type="paragraph" w:styleId="af5">
    <w:name w:val="Title"/>
    <w:basedOn w:val="a2"/>
    <w:next w:val="a2"/>
    <w:link w:val="af6"/>
    <w:uiPriority w:val="10"/>
    <w:qFormat/>
    <w:rsid w:val="004C6E7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f6">
    <w:name w:val="Заголовок Знак"/>
    <w:basedOn w:val="a3"/>
    <w:link w:val="af5"/>
    <w:uiPriority w:val="10"/>
    <w:rsid w:val="004C6E70"/>
    <w:rPr>
      <w:rFonts w:asciiTheme="majorHAnsi" w:eastAsiaTheme="majorEastAsia" w:hAnsiTheme="majorHAnsi" w:cstheme="majorBidi"/>
      <w:color w:val="2E74B5" w:themeColor="accent1" w:themeShade="BF"/>
      <w:spacing w:val="-10"/>
      <w:sz w:val="52"/>
      <w:szCs w:val="52"/>
    </w:rPr>
  </w:style>
  <w:style w:type="paragraph" w:styleId="af7">
    <w:name w:val="Subtitle"/>
    <w:basedOn w:val="a2"/>
    <w:next w:val="a2"/>
    <w:link w:val="af8"/>
    <w:qFormat/>
    <w:rsid w:val="004C6E70"/>
    <w:pPr>
      <w:numPr>
        <w:ilvl w:val="1"/>
      </w:numPr>
      <w:spacing w:line="240" w:lineRule="auto"/>
    </w:pPr>
    <w:rPr>
      <w:rFonts w:asciiTheme="majorHAnsi" w:eastAsiaTheme="majorEastAsia" w:hAnsiTheme="majorHAnsi" w:cstheme="majorBidi"/>
    </w:rPr>
  </w:style>
  <w:style w:type="character" w:customStyle="1" w:styleId="af8">
    <w:name w:val="Подзаголовок Знак"/>
    <w:basedOn w:val="a3"/>
    <w:link w:val="af7"/>
    <w:rsid w:val="004C6E70"/>
    <w:rPr>
      <w:rFonts w:asciiTheme="majorHAnsi" w:eastAsiaTheme="majorEastAsia" w:hAnsiTheme="majorHAnsi" w:cstheme="majorBidi"/>
    </w:rPr>
  </w:style>
  <w:style w:type="character" w:styleId="af9">
    <w:name w:val="Strong"/>
    <w:basedOn w:val="a3"/>
    <w:uiPriority w:val="22"/>
    <w:qFormat/>
    <w:rsid w:val="004C6E70"/>
    <w:rPr>
      <w:b/>
      <w:bCs/>
    </w:rPr>
  </w:style>
  <w:style w:type="character" w:styleId="afa">
    <w:name w:val="Emphasis"/>
    <w:basedOn w:val="a3"/>
    <w:uiPriority w:val="20"/>
    <w:qFormat/>
    <w:rsid w:val="004C6E70"/>
    <w:rPr>
      <w:i/>
      <w:iCs/>
    </w:rPr>
  </w:style>
  <w:style w:type="paragraph" w:styleId="afb">
    <w:name w:val="No Spacing"/>
    <w:uiPriority w:val="1"/>
    <w:qFormat/>
    <w:rsid w:val="004C6E70"/>
    <w:pPr>
      <w:spacing w:after="0" w:line="240" w:lineRule="auto"/>
    </w:pPr>
  </w:style>
  <w:style w:type="paragraph" w:styleId="22">
    <w:name w:val="Quote"/>
    <w:basedOn w:val="a2"/>
    <w:next w:val="a2"/>
    <w:link w:val="23"/>
    <w:uiPriority w:val="29"/>
    <w:qFormat/>
    <w:rsid w:val="004C6E70"/>
    <w:pPr>
      <w:spacing w:before="120"/>
      <w:ind w:left="720" w:right="720"/>
      <w:jc w:val="center"/>
    </w:pPr>
    <w:rPr>
      <w:i/>
      <w:iCs/>
    </w:rPr>
  </w:style>
  <w:style w:type="character" w:customStyle="1" w:styleId="23">
    <w:name w:val="Цитата 2 Знак"/>
    <w:basedOn w:val="a3"/>
    <w:link w:val="22"/>
    <w:uiPriority w:val="29"/>
    <w:rsid w:val="004C6E70"/>
    <w:rPr>
      <w:i/>
      <w:iCs/>
    </w:rPr>
  </w:style>
  <w:style w:type="paragraph" w:styleId="afc">
    <w:name w:val="Intense Quote"/>
    <w:basedOn w:val="a2"/>
    <w:next w:val="a2"/>
    <w:link w:val="afd"/>
    <w:uiPriority w:val="30"/>
    <w:qFormat/>
    <w:rsid w:val="004C6E7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fd">
    <w:name w:val="Выделенная цитата Знак"/>
    <w:basedOn w:val="a3"/>
    <w:link w:val="afc"/>
    <w:uiPriority w:val="30"/>
    <w:rsid w:val="004C6E70"/>
    <w:rPr>
      <w:rFonts w:asciiTheme="majorHAnsi" w:eastAsiaTheme="majorEastAsia" w:hAnsiTheme="majorHAnsi" w:cstheme="majorBidi"/>
      <w:color w:val="5B9BD5" w:themeColor="accent1"/>
      <w:sz w:val="24"/>
      <w:szCs w:val="24"/>
    </w:rPr>
  </w:style>
  <w:style w:type="character" w:styleId="afe">
    <w:name w:val="Subtle Emphasis"/>
    <w:basedOn w:val="a3"/>
    <w:uiPriority w:val="19"/>
    <w:qFormat/>
    <w:rsid w:val="004C6E70"/>
    <w:rPr>
      <w:i/>
      <w:iCs/>
      <w:color w:val="404040" w:themeColor="text1" w:themeTint="BF"/>
    </w:rPr>
  </w:style>
  <w:style w:type="character" w:styleId="aff">
    <w:name w:val="Intense Emphasis"/>
    <w:basedOn w:val="a3"/>
    <w:uiPriority w:val="21"/>
    <w:qFormat/>
    <w:rsid w:val="004C6E70"/>
    <w:rPr>
      <w:b w:val="0"/>
      <w:bCs w:val="0"/>
      <w:i/>
      <w:iCs/>
      <w:color w:val="5B9BD5" w:themeColor="accent1"/>
    </w:rPr>
  </w:style>
  <w:style w:type="character" w:styleId="aff0">
    <w:name w:val="Subtle Reference"/>
    <w:basedOn w:val="a3"/>
    <w:uiPriority w:val="31"/>
    <w:qFormat/>
    <w:rsid w:val="004C6E70"/>
    <w:rPr>
      <w:smallCaps/>
      <w:color w:val="404040" w:themeColor="text1" w:themeTint="BF"/>
      <w:u w:val="single" w:color="7F7F7F" w:themeColor="text1" w:themeTint="80"/>
    </w:rPr>
  </w:style>
  <w:style w:type="character" w:styleId="aff1">
    <w:name w:val="Intense Reference"/>
    <w:basedOn w:val="a3"/>
    <w:uiPriority w:val="32"/>
    <w:qFormat/>
    <w:rsid w:val="004C6E70"/>
    <w:rPr>
      <w:b/>
      <w:bCs/>
      <w:smallCaps/>
      <w:color w:val="5B9BD5" w:themeColor="accent1"/>
      <w:spacing w:val="5"/>
      <w:u w:val="single"/>
    </w:rPr>
  </w:style>
  <w:style w:type="character" w:styleId="aff2">
    <w:name w:val="Book Title"/>
    <w:basedOn w:val="a3"/>
    <w:uiPriority w:val="33"/>
    <w:qFormat/>
    <w:rsid w:val="004C6E70"/>
    <w:rPr>
      <w:b/>
      <w:bCs/>
      <w:smallCaps/>
    </w:rPr>
  </w:style>
  <w:style w:type="paragraph" w:styleId="aff3">
    <w:name w:val="TOC Heading"/>
    <w:basedOn w:val="11"/>
    <w:next w:val="a2"/>
    <w:uiPriority w:val="39"/>
    <w:semiHidden/>
    <w:unhideWhenUsed/>
    <w:qFormat/>
    <w:rsid w:val="004C6E70"/>
    <w:pPr>
      <w:outlineLvl w:val="9"/>
    </w:pPr>
  </w:style>
  <w:style w:type="character" w:styleId="aff4">
    <w:name w:val="Hyperlink"/>
    <w:uiPriority w:val="99"/>
    <w:unhideWhenUsed/>
    <w:rsid w:val="00025781"/>
    <w:rPr>
      <w:color w:val="0000FF"/>
      <w:u w:val="single"/>
    </w:rPr>
  </w:style>
  <w:style w:type="paragraph" w:styleId="aff5">
    <w:name w:val="footnote text"/>
    <w:basedOn w:val="a2"/>
    <w:link w:val="aff6"/>
    <w:uiPriority w:val="99"/>
    <w:unhideWhenUsed/>
    <w:rsid w:val="00FE5E05"/>
    <w:pPr>
      <w:spacing w:after="0" w:line="240" w:lineRule="auto"/>
    </w:pPr>
    <w:rPr>
      <w:rFonts w:ascii="Verdana" w:eastAsia="Calibri" w:hAnsi="Verdana" w:cs="Times New Roman"/>
      <w:sz w:val="20"/>
      <w:szCs w:val="20"/>
    </w:rPr>
  </w:style>
  <w:style w:type="character" w:customStyle="1" w:styleId="aff6">
    <w:name w:val="Текст сноски Знак"/>
    <w:basedOn w:val="a3"/>
    <w:link w:val="aff5"/>
    <w:uiPriority w:val="99"/>
    <w:rsid w:val="00FE5E05"/>
    <w:rPr>
      <w:rFonts w:ascii="Verdana" w:eastAsia="Calibri" w:hAnsi="Verdana" w:cs="Times New Roman"/>
      <w:sz w:val="20"/>
      <w:szCs w:val="20"/>
    </w:rPr>
  </w:style>
  <w:style w:type="character" w:styleId="aff7">
    <w:name w:val="footnote reference"/>
    <w:uiPriority w:val="99"/>
    <w:unhideWhenUsed/>
    <w:rsid w:val="00FE5E05"/>
    <w:rPr>
      <w:vertAlign w:val="superscript"/>
    </w:rPr>
  </w:style>
  <w:style w:type="paragraph" w:customStyle="1" w:styleId="Default">
    <w:name w:val="Default"/>
    <w:rsid w:val="00FE5E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8">
    <w:name w:val="annotation subject"/>
    <w:basedOn w:val="af"/>
    <w:next w:val="af"/>
    <w:link w:val="aff9"/>
    <w:uiPriority w:val="99"/>
    <w:semiHidden/>
    <w:unhideWhenUsed/>
    <w:rsid w:val="008E5B88"/>
    <w:pPr>
      <w:spacing w:after="200"/>
    </w:pPr>
    <w:rPr>
      <w:rFonts w:ascii="Calibri" w:eastAsia="Calibri" w:hAnsi="Calibri" w:cs="Times New Roman"/>
      <w:b/>
      <w:bCs/>
    </w:rPr>
  </w:style>
  <w:style w:type="character" w:customStyle="1" w:styleId="aff9">
    <w:name w:val="Тема примечания Знак"/>
    <w:basedOn w:val="af0"/>
    <w:link w:val="aff8"/>
    <w:uiPriority w:val="99"/>
    <w:semiHidden/>
    <w:rsid w:val="008E5B88"/>
    <w:rPr>
      <w:rFonts w:ascii="Calibri" w:eastAsia="Calibri" w:hAnsi="Calibri" w:cs="Times New Roman"/>
      <w:b/>
      <w:bCs/>
      <w:sz w:val="20"/>
      <w:szCs w:val="20"/>
    </w:rPr>
  </w:style>
  <w:style w:type="character" w:styleId="affa">
    <w:name w:val="Placeholder Text"/>
    <w:uiPriority w:val="99"/>
    <w:semiHidden/>
    <w:rsid w:val="008E5B88"/>
    <w:rPr>
      <w:color w:val="808080"/>
    </w:rPr>
  </w:style>
  <w:style w:type="paragraph" w:styleId="affb">
    <w:name w:val="Revision"/>
    <w:hidden/>
    <w:uiPriority w:val="99"/>
    <w:semiHidden/>
    <w:rsid w:val="008E5B88"/>
    <w:pPr>
      <w:spacing w:after="0" w:line="240" w:lineRule="auto"/>
    </w:pPr>
    <w:rPr>
      <w:rFonts w:ascii="Calibri" w:eastAsia="Calibri" w:hAnsi="Calibri" w:cs="Times New Roman"/>
    </w:rPr>
  </w:style>
  <w:style w:type="paragraph" w:customStyle="1" w:styleId="ConsPlusNonformat">
    <w:name w:val="ConsPlusNonformat"/>
    <w:uiPriority w:val="99"/>
    <w:rsid w:val="008E5B88"/>
    <w:pPr>
      <w:autoSpaceDE w:val="0"/>
      <w:autoSpaceDN w:val="0"/>
      <w:adjustRightInd w:val="0"/>
      <w:spacing w:after="0" w:line="240" w:lineRule="auto"/>
    </w:pPr>
    <w:rPr>
      <w:rFonts w:ascii="Courier New" w:eastAsia="Calibri" w:hAnsi="Courier New" w:cs="Courier New"/>
      <w:sz w:val="20"/>
      <w:szCs w:val="20"/>
    </w:rPr>
  </w:style>
  <w:style w:type="paragraph" w:customStyle="1" w:styleId="14">
    <w:name w:val="Обычный1"/>
    <w:rsid w:val="008E5B88"/>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95">
    <w:name w:val="Font Style195"/>
    <w:uiPriority w:val="99"/>
    <w:rsid w:val="008E5B88"/>
    <w:rPr>
      <w:rFonts w:ascii="Calibri" w:hAnsi="Calibri" w:cs="Calibri"/>
      <w:sz w:val="18"/>
      <w:szCs w:val="18"/>
    </w:rPr>
  </w:style>
  <w:style w:type="character" w:styleId="affc">
    <w:name w:val="FollowedHyperlink"/>
    <w:uiPriority w:val="99"/>
    <w:semiHidden/>
    <w:unhideWhenUsed/>
    <w:rsid w:val="008E5B88"/>
    <w:rPr>
      <w:color w:val="800080"/>
      <w:u w:val="single"/>
    </w:rPr>
  </w:style>
  <w:style w:type="paragraph" w:styleId="affd">
    <w:name w:val="endnote text"/>
    <w:basedOn w:val="a2"/>
    <w:link w:val="affe"/>
    <w:uiPriority w:val="99"/>
    <w:unhideWhenUsed/>
    <w:rsid w:val="008E5B88"/>
    <w:pPr>
      <w:spacing w:after="0" w:line="240" w:lineRule="auto"/>
    </w:pPr>
    <w:rPr>
      <w:rFonts w:ascii="Calibri" w:eastAsia="Calibri" w:hAnsi="Calibri" w:cs="Times New Roman"/>
      <w:sz w:val="20"/>
      <w:szCs w:val="20"/>
    </w:rPr>
  </w:style>
  <w:style w:type="character" w:customStyle="1" w:styleId="affe">
    <w:name w:val="Текст концевой сноски Знак"/>
    <w:basedOn w:val="a3"/>
    <w:link w:val="affd"/>
    <w:uiPriority w:val="99"/>
    <w:rsid w:val="008E5B88"/>
    <w:rPr>
      <w:rFonts w:ascii="Calibri" w:eastAsia="Calibri" w:hAnsi="Calibri" w:cs="Times New Roman"/>
      <w:sz w:val="20"/>
      <w:szCs w:val="20"/>
    </w:rPr>
  </w:style>
  <w:style w:type="character" w:styleId="afff">
    <w:name w:val="endnote reference"/>
    <w:uiPriority w:val="99"/>
    <w:semiHidden/>
    <w:unhideWhenUsed/>
    <w:rsid w:val="008E5B88"/>
    <w:rPr>
      <w:vertAlign w:val="superscript"/>
    </w:rPr>
  </w:style>
  <w:style w:type="paragraph" w:styleId="afff0">
    <w:name w:val="Plain Text"/>
    <w:basedOn w:val="a2"/>
    <w:link w:val="afff1"/>
    <w:uiPriority w:val="99"/>
    <w:unhideWhenUsed/>
    <w:rsid w:val="008E5B88"/>
    <w:pPr>
      <w:spacing w:after="0" w:line="240" w:lineRule="auto"/>
    </w:pPr>
    <w:rPr>
      <w:rFonts w:ascii="Calibri" w:eastAsia="Calibri" w:hAnsi="Calibri" w:cs="Times New Roman"/>
      <w:sz w:val="20"/>
      <w:szCs w:val="20"/>
      <w:lang w:eastAsia="ru-RU"/>
    </w:rPr>
  </w:style>
  <w:style w:type="character" w:customStyle="1" w:styleId="afff1">
    <w:name w:val="Текст Знак"/>
    <w:basedOn w:val="a3"/>
    <w:link w:val="afff0"/>
    <w:uiPriority w:val="99"/>
    <w:rsid w:val="008E5B88"/>
    <w:rPr>
      <w:rFonts w:ascii="Calibri" w:eastAsia="Calibri" w:hAnsi="Calibri" w:cs="Times New Roman"/>
      <w:sz w:val="20"/>
      <w:szCs w:val="20"/>
      <w:lang w:eastAsia="ru-RU"/>
    </w:rPr>
  </w:style>
  <w:style w:type="paragraph" w:customStyle="1" w:styleId="afff2">
    <w:name w:val="Таблица"/>
    <w:basedOn w:val="24"/>
    <w:rsid w:val="008E5B8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4">
    <w:name w:val="Body Text 2"/>
    <w:basedOn w:val="a2"/>
    <w:link w:val="25"/>
    <w:uiPriority w:val="99"/>
    <w:semiHidden/>
    <w:unhideWhenUsed/>
    <w:rsid w:val="008E5B88"/>
    <w:pPr>
      <w:spacing w:after="120" w:line="480" w:lineRule="auto"/>
    </w:pPr>
    <w:rPr>
      <w:rFonts w:ascii="Calibri" w:eastAsia="Calibri" w:hAnsi="Calibri" w:cs="Times New Roman"/>
    </w:rPr>
  </w:style>
  <w:style w:type="character" w:customStyle="1" w:styleId="25">
    <w:name w:val="Основной текст 2 Знак"/>
    <w:basedOn w:val="a3"/>
    <w:link w:val="24"/>
    <w:uiPriority w:val="99"/>
    <w:semiHidden/>
    <w:rsid w:val="008E5B88"/>
    <w:rPr>
      <w:rFonts w:ascii="Calibri" w:eastAsia="Calibri" w:hAnsi="Calibri" w:cs="Times New Roman"/>
    </w:rPr>
  </w:style>
  <w:style w:type="paragraph" w:customStyle="1" w:styleId="-0">
    <w:name w:val="Таб-заг"/>
    <w:basedOn w:val="a2"/>
    <w:qFormat/>
    <w:rsid w:val="008E5B8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s="Times New Roman"/>
      <w:color w:val="FFFFFF"/>
      <w:sz w:val="18"/>
      <w:szCs w:val="18"/>
      <w:lang w:eastAsia="ru-RU"/>
    </w:rPr>
  </w:style>
  <w:style w:type="paragraph" w:customStyle="1" w:styleId="-">
    <w:name w:val="Таб-марк"/>
    <w:basedOn w:val="afff2"/>
    <w:qFormat/>
    <w:rsid w:val="008E5B88"/>
    <w:pPr>
      <w:numPr>
        <w:numId w:val="12"/>
      </w:numPr>
      <w:tabs>
        <w:tab w:val="num" w:pos="360"/>
      </w:tabs>
      <w:ind w:left="57" w:firstLine="0"/>
      <w:contextualSpacing/>
    </w:pPr>
  </w:style>
  <w:style w:type="paragraph" w:customStyle="1" w:styleId="-1">
    <w:name w:val="Таб-столбец"/>
    <w:qFormat/>
    <w:rsid w:val="008E5B88"/>
    <w:pPr>
      <w:spacing w:after="0" w:line="240" w:lineRule="auto"/>
    </w:pPr>
    <w:rPr>
      <w:rFonts w:ascii="Times New Roman" w:eastAsia="Times New Roman" w:hAnsi="Times New Roman" w:cs="Times New Roman"/>
      <w:b/>
      <w:bCs/>
      <w:color w:val="FFFFFF"/>
      <w:sz w:val="18"/>
      <w:szCs w:val="18"/>
      <w:lang w:eastAsia="ru-RU"/>
    </w:rPr>
  </w:style>
  <w:style w:type="paragraph" w:customStyle="1" w:styleId="-2">
    <w:name w:val="ЗАГ-таб"/>
    <w:basedOn w:val="32"/>
    <w:qFormat/>
    <w:rsid w:val="008E5B88"/>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2"/>
    <w:link w:val="33"/>
    <w:uiPriority w:val="99"/>
    <w:semiHidden/>
    <w:unhideWhenUsed/>
    <w:rsid w:val="008E5B88"/>
    <w:pPr>
      <w:spacing w:after="120" w:line="276" w:lineRule="auto"/>
    </w:pPr>
    <w:rPr>
      <w:rFonts w:ascii="Calibri" w:eastAsia="Calibri" w:hAnsi="Calibri" w:cs="Times New Roman"/>
      <w:sz w:val="16"/>
      <w:szCs w:val="16"/>
    </w:rPr>
  </w:style>
  <w:style w:type="character" w:customStyle="1" w:styleId="33">
    <w:name w:val="Основной текст 3 Знак"/>
    <w:basedOn w:val="a3"/>
    <w:link w:val="32"/>
    <w:uiPriority w:val="99"/>
    <w:semiHidden/>
    <w:rsid w:val="008E5B88"/>
    <w:rPr>
      <w:rFonts w:ascii="Calibri" w:eastAsia="Calibri" w:hAnsi="Calibri" w:cs="Times New Roman"/>
      <w:sz w:val="16"/>
      <w:szCs w:val="16"/>
    </w:rPr>
  </w:style>
  <w:style w:type="paragraph" w:customStyle="1" w:styleId="afff3">
    <w:name w:val="Название приложения"/>
    <w:basedOn w:val="11"/>
    <w:qFormat/>
    <w:rsid w:val="008E5B88"/>
    <w:pPr>
      <w:autoSpaceDE w:val="0"/>
      <w:autoSpaceDN w:val="0"/>
      <w:adjustRightInd w:val="0"/>
      <w:spacing w:before="360" w:after="240"/>
      <w:jc w:val="center"/>
    </w:pPr>
    <w:rPr>
      <w:rFonts w:ascii="Times New Roman" w:eastAsia="Times New Roman" w:hAnsi="Times New Roman" w:cs="Times New Roman"/>
      <w:b/>
      <w:bCs/>
      <w:iCs/>
      <w:smallCaps/>
      <w:color w:val="auto"/>
      <w:spacing w:val="6"/>
      <w:kern w:val="32"/>
      <w:sz w:val="22"/>
      <w:szCs w:val="24"/>
      <w:lang w:eastAsia="ru-RU"/>
    </w:rPr>
  </w:style>
  <w:style w:type="table" w:customStyle="1" w:styleId="-311">
    <w:name w:val="Список-таблица 3 — акцент 11"/>
    <w:basedOn w:val="a4"/>
    <w:uiPriority w:val="48"/>
    <w:rsid w:val="008E5B88"/>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1">
    <w:name w:val="Раздел 1"/>
    <w:basedOn w:val="ac"/>
    <w:link w:val="110"/>
    <w:qFormat/>
    <w:rsid w:val="008E5B88"/>
    <w:pPr>
      <w:keepNext/>
      <w:numPr>
        <w:ilvl w:val="1"/>
        <w:numId w:val="13"/>
      </w:numPr>
      <w:spacing w:before="240" w:after="0" w:line="240" w:lineRule="auto"/>
      <w:jc w:val="both"/>
    </w:pPr>
    <w:rPr>
      <w:rFonts w:ascii="Times New Roman" w:eastAsia="Calibri" w:hAnsi="Times New Roman" w:cs="Times New Roman"/>
      <w:b/>
      <w:sz w:val="20"/>
      <w:szCs w:val="20"/>
    </w:rPr>
  </w:style>
  <w:style w:type="character" w:customStyle="1" w:styleId="110">
    <w:name w:val="Раздел 1 Знак1"/>
    <w:basedOn w:val="ad"/>
    <w:link w:val="1"/>
    <w:rsid w:val="008E5B88"/>
    <w:rPr>
      <w:rFonts w:ascii="Times New Roman" w:eastAsia="Calibri" w:hAnsi="Times New Roman" w:cs="Times New Roman"/>
      <w:b/>
      <w:sz w:val="20"/>
      <w:szCs w:val="20"/>
    </w:rPr>
  </w:style>
  <w:style w:type="paragraph" w:customStyle="1" w:styleId="a0">
    <w:name w:val="Часть"/>
    <w:basedOn w:val="a2"/>
    <w:link w:val="afff4"/>
    <w:qFormat/>
    <w:rsid w:val="008E5B88"/>
    <w:pPr>
      <w:keepNext/>
      <w:widowControl w:val="0"/>
      <w:numPr>
        <w:ilvl w:val="2"/>
        <w:numId w:val="13"/>
      </w:numPr>
      <w:spacing w:before="360" w:after="120" w:line="240" w:lineRule="auto"/>
      <w:ind w:left="360" w:hanging="360"/>
      <w:jc w:val="center"/>
    </w:pPr>
    <w:rPr>
      <w:rFonts w:ascii="Times New Roman" w:eastAsia="Calibri" w:hAnsi="Times New Roman" w:cs="Times New Roman"/>
      <w:b/>
      <w:bCs/>
      <w:sz w:val="24"/>
    </w:rPr>
  </w:style>
  <w:style w:type="paragraph" w:customStyle="1" w:styleId="2">
    <w:name w:val="Раздел 2"/>
    <w:basedOn w:val="1"/>
    <w:link w:val="210"/>
    <w:qFormat/>
    <w:rsid w:val="008E5B88"/>
    <w:pPr>
      <w:numPr>
        <w:ilvl w:val="3"/>
      </w:numPr>
      <w:spacing w:before="120"/>
      <w:ind w:left="1224" w:hanging="504"/>
    </w:pPr>
  </w:style>
  <w:style w:type="paragraph" w:customStyle="1" w:styleId="3">
    <w:name w:val="Раздел 3"/>
    <w:basedOn w:val="2"/>
    <w:qFormat/>
    <w:rsid w:val="008E5B88"/>
    <w:pPr>
      <w:numPr>
        <w:ilvl w:val="4"/>
      </w:numPr>
      <w:ind w:left="1224" w:hanging="504"/>
    </w:pPr>
  </w:style>
  <w:style w:type="paragraph" w:customStyle="1" w:styleId="41">
    <w:name w:val="Раздел 4"/>
    <w:basedOn w:val="3"/>
    <w:link w:val="42"/>
    <w:qFormat/>
    <w:rsid w:val="008E5B88"/>
    <w:pPr>
      <w:numPr>
        <w:numId w:val="0"/>
      </w:numPr>
      <w:ind w:left="1224" w:hanging="504"/>
    </w:pPr>
    <w:rPr>
      <w:i/>
    </w:rPr>
  </w:style>
  <w:style w:type="character" w:customStyle="1" w:styleId="42">
    <w:name w:val="Раздел 4 Знак"/>
    <w:link w:val="41"/>
    <w:rsid w:val="008E5B88"/>
    <w:rPr>
      <w:rFonts w:ascii="Times New Roman" w:eastAsia="Calibri" w:hAnsi="Times New Roman" w:cs="Times New Roman"/>
      <w:b/>
      <w:i/>
      <w:sz w:val="20"/>
      <w:szCs w:val="20"/>
    </w:rPr>
  </w:style>
  <w:style w:type="character" w:customStyle="1" w:styleId="s12">
    <w:name w:val="s12"/>
    <w:basedOn w:val="a3"/>
    <w:rsid w:val="008E5B88"/>
  </w:style>
  <w:style w:type="character" w:customStyle="1" w:styleId="bumpedfont15">
    <w:name w:val="bumpedfont15"/>
    <w:basedOn w:val="a3"/>
    <w:rsid w:val="008E5B88"/>
  </w:style>
  <w:style w:type="paragraph" w:customStyle="1" w:styleId="15">
    <w:name w:val="1"/>
    <w:basedOn w:val="a2"/>
    <w:rsid w:val="008E5B88"/>
    <w:pPr>
      <w:spacing w:after="0"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2"/>
    <w:link w:val="ListParagraphChar1"/>
    <w:rsid w:val="008E5B88"/>
    <w:pPr>
      <w:spacing w:after="0" w:line="240" w:lineRule="auto"/>
      <w:ind w:left="720"/>
      <w:contextualSpacing/>
      <w:jc w:val="both"/>
    </w:pPr>
    <w:rPr>
      <w:rFonts w:ascii="Times New Roman" w:eastAsia="Calibri" w:hAnsi="Times New Roman" w:cs="Times New Roman"/>
      <w:sz w:val="20"/>
      <w:szCs w:val="20"/>
      <w:lang w:val="x-none" w:eastAsia="x-none"/>
    </w:rPr>
  </w:style>
  <w:style w:type="character" w:customStyle="1" w:styleId="ListParagraphChar1">
    <w:name w:val="List Paragraph Char1"/>
    <w:link w:val="26"/>
    <w:locked/>
    <w:rsid w:val="008E5B88"/>
    <w:rPr>
      <w:rFonts w:ascii="Times New Roman" w:eastAsia="Calibri" w:hAnsi="Times New Roman" w:cs="Times New Roman"/>
      <w:sz w:val="20"/>
      <w:szCs w:val="20"/>
      <w:lang w:val="x-none" w:eastAsia="x-none"/>
    </w:rPr>
  </w:style>
  <w:style w:type="paragraph" w:styleId="afff5">
    <w:name w:val="Normal (Web)"/>
    <w:basedOn w:val="a2"/>
    <w:uiPriority w:val="99"/>
    <w:unhideWhenUsed/>
    <w:rsid w:val="008E5B8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f6">
    <w:name w:val="Signature"/>
    <w:basedOn w:val="a2"/>
    <w:link w:val="afff7"/>
    <w:uiPriority w:val="99"/>
    <w:rsid w:val="008E5B88"/>
    <w:pPr>
      <w:spacing w:before="60" w:after="0" w:line="240" w:lineRule="auto"/>
      <w:jc w:val="center"/>
    </w:pPr>
    <w:rPr>
      <w:rFonts w:ascii="PragmaticaCTT" w:eastAsia="Times New Roman" w:hAnsi="PragmaticaCTT" w:cs="Times New Roman"/>
      <w:b/>
      <w:szCs w:val="20"/>
      <w:lang w:eastAsia="ru-RU"/>
    </w:rPr>
  </w:style>
  <w:style w:type="character" w:customStyle="1" w:styleId="afff7">
    <w:name w:val="Подпись Знак"/>
    <w:basedOn w:val="a3"/>
    <w:link w:val="afff6"/>
    <w:uiPriority w:val="99"/>
    <w:rsid w:val="008E5B88"/>
    <w:rPr>
      <w:rFonts w:ascii="PragmaticaCTT" w:eastAsia="Times New Roman" w:hAnsi="PragmaticaCTT" w:cs="Times New Roman"/>
      <w:b/>
      <w:szCs w:val="20"/>
      <w:lang w:eastAsia="ru-RU"/>
    </w:rPr>
  </w:style>
  <w:style w:type="paragraph" w:styleId="a1">
    <w:name w:val="List Bullet"/>
    <w:basedOn w:val="a2"/>
    <w:uiPriority w:val="99"/>
    <w:unhideWhenUsed/>
    <w:qFormat/>
    <w:rsid w:val="008E5B88"/>
    <w:pPr>
      <w:numPr>
        <w:numId w:val="17"/>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character" w:customStyle="1" w:styleId="afff8">
    <w:name w:val="ВыделениеЖ"/>
    <w:uiPriority w:val="1"/>
    <w:qFormat/>
    <w:rsid w:val="008E5B88"/>
    <w:rPr>
      <w:b/>
    </w:rPr>
  </w:style>
  <w:style w:type="paragraph" w:customStyle="1" w:styleId="afff9">
    <w:name w:val="Сноска"/>
    <w:qFormat/>
    <w:rsid w:val="008E5B88"/>
    <w:pPr>
      <w:spacing w:after="60" w:line="240" w:lineRule="auto"/>
      <w:ind w:firstLine="539"/>
    </w:pPr>
    <w:rPr>
      <w:rFonts w:ascii="Times New Roman" w:eastAsia="Calibri" w:hAnsi="Times New Roman" w:cs="Times New Roman"/>
      <w:sz w:val="18"/>
    </w:rPr>
  </w:style>
  <w:style w:type="paragraph" w:styleId="16">
    <w:name w:val="toc 1"/>
    <w:basedOn w:val="a2"/>
    <w:next w:val="a2"/>
    <w:autoRedefine/>
    <w:uiPriority w:val="39"/>
    <w:unhideWhenUsed/>
    <w:rsid w:val="008E5B88"/>
    <w:pPr>
      <w:spacing w:after="100" w:line="276" w:lineRule="auto"/>
    </w:pPr>
    <w:rPr>
      <w:rFonts w:ascii="Calibri" w:eastAsia="Calibri" w:hAnsi="Calibri" w:cs="Times New Roman"/>
    </w:rPr>
  </w:style>
  <w:style w:type="paragraph" w:styleId="27">
    <w:name w:val="toc 2"/>
    <w:basedOn w:val="a2"/>
    <w:next w:val="a2"/>
    <w:autoRedefine/>
    <w:uiPriority w:val="39"/>
    <w:unhideWhenUsed/>
    <w:rsid w:val="008E5B88"/>
    <w:pPr>
      <w:spacing w:after="100" w:line="276" w:lineRule="auto"/>
      <w:ind w:left="220"/>
    </w:pPr>
    <w:rPr>
      <w:rFonts w:ascii="Calibri" w:eastAsia="Calibri" w:hAnsi="Calibri" w:cs="Times New Roman"/>
    </w:rPr>
  </w:style>
  <w:style w:type="paragraph" w:customStyle="1" w:styleId="10">
    <w:name w:val="Стиль Заголовок 1 + По ширине"/>
    <w:basedOn w:val="11"/>
    <w:rsid w:val="008E5B88"/>
    <w:pPr>
      <w:pageBreakBefore/>
      <w:numPr>
        <w:numId w:val="14"/>
      </w:numPr>
      <w:suppressLineNumbers/>
      <w:spacing w:before="240" w:after="120"/>
      <w:jc w:val="both"/>
    </w:pPr>
    <w:rPr>
      <w:rFonts w:ascii="Times New Roman" w:eastAsia="Times New Roman" w:hAnsi="Times New Roman" w:cs="Times New Roman"/>
      <w:b/>
      <w:bCs/>
      <w:caps/>
      <w:color w:val="auto"/>
      <w:sz w:val="27"/>
      <w:szCs w:val="20"/>
      <w:lang w:eastAsia="ru-RU"/>
    </w:rPr>
  </w:style>
  <w:style w:type="character" w:customStyle="1" w:styleId="afff4">
    <w:name w:val="Часть Знак"/>
    <w:basedOn w:val="a3"/>
    <w:link w:val="a0"/>
    <w:rsid w:val="008E5B88"/>
    <w:rPr>
      <w:rFonts w:ascii="Times New Roman" w:eastAsia="Calibri" w:hAnsi="Times New Roman" w:cs="Times New Roman"/>
      <w:b/>
      <w:bCs/>
      <w:sz w:val="24"/>
    </w:rPr>
  </w:style>
  <w:style w:type="character" w:styleId="afffa">
    <w:name w:val="line number"/>
    <w:basedOn w:val="a3"/>
    <w:uiPriority w:val="99"/>
    <w:semiHidden/>
    <w:unhideWhenUsed/>
    <w:rsid w:val="006D251D"/>
  </w:style>
  <w:style w:type="character" w:customStyle="1" w:styleId="210">
    <w:name w:val="Раздел 2 Знак1"/>
    <w:basedOn w:val="110"/>
    <w:link w:val="2"/>
    <w:rsid w:val="00726CFF"/>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hyperlink" Target="https://www.e-disclosure.ru/" TargetMode="External"/><Relationship Id="rId63" Type="http://schemas.openxmlformats.org/officeDocument/2006/relationships/hyperlink" Target="https://kad.arbitr.ru/" TargetMode="External"/><Relationship Id="rId68" Type="http://schemas.openxmlformats.org/officeDocument/2006/relationships/hyperlink" Target="http://moex.com/a2196" TargetMode="External"/><Relationship Id="rId7" Type="http://schemas.openxmlformats.org/officeDocument/2006/relationships/webSettings" Target="webSettings.xml"/><Relationship Id="rId71" Type="http://schemas.openxmlformats.org/officeDocument/2006/relationships/hyperlink" Target="http://moex.com/ru/index/RUCBITRB3Y/archive/"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hyperlink" Target="https://www.sofrrate.com/" TargetMode="External"/><Relationship Id="rId58" Type="http://schemas.openxmlformats.org/officeDocument/2006/relationships/hyperlink" Target="https://kad.arbitr.ru/" TargetMode="External"/><Relationship Id="rId66" Type="http://schemas.openxmlformats.org/officeDocument/2006/relationships/hyperlink" Target="http://moex.com/a2197"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hyperlink" Target="https://www.cbr.ru/" TargetMode="External"/><Relationship Id="rId61" Type="http://schemas.openxmlformats.org/officeDocument/2006/relationships/hyperlink" Target="https://www.moodys.com/" TargetMode="External"/><Relationship Id="rId10" Type="http://schemas.openxmlformats.org/officeDocument/2006/relationships/hyperlink" Target="consultantplus://offline/ref=814A0EFF132A09463CD9670AE963F763CB8BB51FD917B86624685F66E005C651B06EA066FEJ4v4J"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hyperlink" Target="https://cbr.ru/hd_base/mosprime/" TargetMode="External"/><Relationship Id="rId60" Type="http://schemas.openxmlformats.org/officeDocument/2006/relationships/hyperlink" Target="https://fedresurs.ru" TargetMode="External"/><Relationship Id="rId65" Type="http://schemas.openxmlformats.org/officeDocument/2006/relationships/hyperlink" Target="https://bankruptcy.kommersant.ru"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hyperlink" Target="https://www.moex.com/" TargetMode="External"/><Relationship Id="rId64" Type="http://schemas.openxmlformats.org/officeDocument/2006/relationships/hyperlink" Target="https://bankrot.fedresurs.ru" TargetMode="External"/><Relationship Id="rId69" Type="http://schemas.openxmlformats.org/officeDocument/2006/relationships/hyperlink" Target="http://moex.com/ru/index/RUCBITRBB3Y/archive" TargetMode="External"/><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hyperlink" Target="https://bankrot.fedresurs.ru" TargetMode="External"/><Relationship Id="rId67" Type="http://schemas.openxmlformats.org/officeDocument/2006/relationships/hyperlink" Target="http://moex.com/ru/index/RUCBITRBBB3Y/archive" TargetMode="Externa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hyperlink" Target="https://www.ecb.europa.eu/stats/financial_markets_and_interest_rates/euro_short-term_rate/html/index.en.html" TargetMode="External"/><Relationship Id="rId62" Type="http://schemas.openxmlformats.org/officeDocument/2006/relationships/hyperlink" Target="http://www.gks.ru/accounting_report" TargetMode="External"/><Relationship Id="rId70" Type="http://schemas.openxmlformats.org/officeDocument/2006/relationships/hyperlink" Target="http://moex.com/a219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www.cbr.ru/statistics/?PrtId=int_rat&amp;ch=PAR_11965" TargetMode="External"/><Relationship Id="rId1" Type="http://schemas.openxmlformats.org/officeDocument/2006/relationships/hyperlink" Target="http://www.cbr.ru/statistics/?PrtId=int_rat&amp;ch=PAR_11965" TargetMode="External"/><Relationship Id="rId5" Type="http://schemas.openxmlformats.org/officeDocument/2006/relationships/hyperlink" Target="https://www.sberbank.com/ru/investor-relations/reports-and-publications/ifrs" TargetMode="External"/><Relationship Id="rId4"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PC9zaXNsPjxVc2VyTmFtZT5ST1NCQU5LXHJiMDYzNTMzPC9Vc2VyTmFtZT48RGF0ZVRpbWU+MTcuMDUuMjAyMSA5OjA1OjA4PC9EYXRlVGltZT48TGFiZWxTdHJpbmc+QzEgfCAmI3g0MTI7JiN4NDNEOyYjeDQ0MzsmI3g0NDI7JiN4NDQwOyYjeDQzNTsmI3g0M0Q7JiN4NDNEOyYjeDQ0RjsmI3g0NEY7ICYjeDQzODsmI3g0M0Q7JiN4NDQ0OyYjeDQzRTsmI3g0NDA7JiN4NDNDOyYjeDQzMDsmI3g0NDY7JiN4NDM4OyYjeDQ0Rjs8L0xhYmVsU3RyaW5nPjwvaXRlbT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PC9zaXNsPjxVc2VyTmFtZT5ST1NCQU5LXHJiMDYzNTMzPC9Vc2VyTmFtZT48RGF0ZVRpbWU+MTQuMDcuMjAyMSAxNTowODowMj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internalonly" value=""/>
  <element uid="d5a7e9b1-9ad8-4583-88e3-dd320b06c78c"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E622-14ED-44C5-9F66-B3A4100B23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63220C5-1D12-4A54-AB08-2F8ABAB3CC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E07C631-D213-42E9-836F-34E2E00D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33473</Words>
  <Characters>190797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Брайцева Екатерина Николаевна</dc:creator>
  <cp:keywords>C1 - Internal  |kjdlkajldhas*C1*lkdlkhas|</cp:keywords>
  <dc:description>C1 - Internal  |kjdlkajldhas*C1*lkdlkhas|</dc:description>
  <cp:lastModifiedBy>Любовь Белова</cp:lastModifiedBy>
  <cp:revision>2</cp:revision>
  <cp:lastPrinted>2021-07-15T08:37:00Z</cp:lastPrinted>
  <dcterms:created xsi:type="dcterms:W3CDTF">2021-07-15T12:00:00Z</dcterms:created>
  <dcterms:modified xsi:type="dcterms:W3CDTF">2021-07-15T12:00:00Z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e24e713f-8e70-4ebc-accd-042ea3d55260</vt:lpwstr>
  </property>
  <property fmtid="{D5CDD505-2E9C-101B-9397-08002B2CF9AE}" pid="3" name="bjDocumentSecurityLabel">
    <vt:lpwstr>C1 | Внутренняя информация</vt:lpwstr>
  </property>
  <property fmtid="{D5CDD505-2E9C-101B-9397-08002B2CF9AE}" pid="4" name="bjSaver">
    <vt:lpwstr>zWIFQ/YUK2UGAdL5GHbvoL2VxGYF5HA5</vt:lpwstr>
  </property>
  <property fmtid="{D5CDD505-2E9C-101B-9397-08002B2CF9AE}" pid="5"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6" name="bjDocumentLabelXML-0">
    <vt:lpwstr>ames.com/2008/01/sie/internal/label"&gt;&lt;element uid="id_classification_internalonly" value="" /&gt;&lt;element uid="d5a7e9b1-9ad8-4583-88e3-dd320b06c78c" value="" /&gt;&lt;/sisl&gt;</vt:lpwstr>
  </property>
  <property fmtid="{D5CDD505-2E9C-101B-9397-08002B2CF9AE}" pid="7" name="bjLabelHistoryID">
    <vt:lpwstr>{A78DE622-14ED-44C5-9F66-B3A4100B23C8}</vt:lpwstr>
  </property>
</Properties>
</file>